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N w:val="0"/>
        <w:spacing w:line="6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“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心向暖阳，逐光前行</w:t>
      </w:r>
      <w:r>
        <w:rPr>
          <w:rFonts w:hint="eastAsia" w:ascii="方正小标宋简体" w:hAnsi="黑体" w:eastAsia="方正小标宋简体" w:cs="黑体"/>
          <w:sz w:val="36"/>
          <w:szCs w:val="36"/>
        </w:rPr>
        <w:t>”心理微电影大赛</w:t>
      </w:r>
      <w:r>
        <w:rPr>
          <w:rFonts w:ascii="方正小标宋简体" w:hAnsi="黑体" w:eastAsia="方正小标宋简体" w:cs="黑体"/>
          <w:sz w:val="36"/>
          <w:szCs w:val="36"/>
        </w:rPr>
        <w:t>评分</w:t>
      </w:r>
      <w:r>
        <w:rPr>
          <w:rFonts w:hint="eastAsia" w:ascii="方正小标宋简体" w:hAnsi="黑体" w:eastAsia="方正小标宋简体" w:cs="黑体"/>
          <w:sz w:val="36"/>
          <w:szCs w:val="36"/>
        </w:rPr>
        <w:t>细则</w:t>
      </w:r>
    </w:p>
    <w:p>
      <w:pPr>
        <w:widowControl/>
        <w:adjustRightInd w:val="0"/>
        <w:spacing w:before="156" w:beforeLines="50" w:after="156" w:afterLines="50"/>
        <w:jc w:val="left"/>
        <w:rPr>
          <w:b/>
          <w:sz w:val="36"/>
          <w:szCs w:val="32"/>
        </w:rPr>
      </w:pPr>
      <w:bookmarkStart w:id="0" w:name="_Toc5176664"/>
      <w:r>
        <w:rPr>
          <w:rFonts w:hint="eastAsia" w:ascii="黑体" w:hAnsi="黑体" w:eastAsia="黑体"/>
          <w:b/>
          <w:sz w:val="32"/>
          <w:szCs w:val="32"/>
        </w:rPr>
        <w:t>一、评分标准</w:t>
      </w:r>
      <w:bookmarkEnd w:id="0"/>
    </w:p>
    <w:p>
      <w:pPr>
        <w:spacing w:before="78" w:beforeLines="25" w:after="78" w:afterLines="2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1.占比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网络投票占</w:t>
      </w:r>
      <w:r>
        <w:rPr>
          <w:rFonts w:ascii="仿宋" w:hAnsi="仿宋" w:eastAsia="仿宋"/>
          <w:sz w:val="28"/>
          <w:szCs w:val="28"/>
        </w:rPr>
        <w:t>15%，</w:t>
      </w:r>
      <w:r>
        <w:rPr>
          <w:rFonts w:hint="eastAsia" w:ascii="仿宋" w:hAnsi="仿宋" w:eastAsia="仿宋"/>
          <w:sz w:val="28"/>
          <w:szCs w:val="28"/>
        </w:rPr>
        <w:t>专家</w:t>
      </w:r>
      <w:r>
        <w:rPr>
          <w:rFonts w:ascii="仿宋" w:hAnsi="仿宋" w:eastAsia="仿宋"/>
          <w:sz w:val="28"/>
          <w:szCs w:val="28"/>
        </w:rPr>
        <w:t>评委评分占85%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78" w:beforeLines="25" w:after="78" w:afterLines="2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2.标准</w:t>
      </w:r>
    </w:p>
    <w:p>
      <w:pPr>
        <w:widowControl/>
        <w:spacing w:before="46" w:beforeLines="15" w:after="46" w:afterLines="15"/>
        <w:rPr>
          <w:rFonts w:ascii="仿宋" w:hAnsi="仿宋" w:eastAsia="仿宋"/>
          <w:b/>
          <w:sz w:val="28"/>
          <w:szCs w:val="28"/>
        </w:rPr>
      </w:pPr>
      <w:bookmarkStart w:id="1" w:name="_Toc5176665"/>
      <w:r>
        <w:rPr>
          <w:rFonts w:hint="eastAsia" w:ascii="仿宋" w:hAnsi="仿宋" w:eastAsia="仿宋"/>
          <w:b/>
          <w:sz w:val="28"/>
          <w:szCs w:val="28"/>
        </w:rPr>
        <w:t>2.1内容</w:t>
      </w:r>
      <w:r>
        <w:rPr>
          <w:rFonts w:ascii="仿宋" w:hAnsi="仿宋" w:eastAsia="仿宋"/>
          <w:b/>
          <w:sz w:val="28"/>
          <w:szCs w:val="28"/>
        </w:rPr>
        <w:t>主题</w:t>
      </w:r>
      <w:bookmarkEnd w:id="1"/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符合“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心向暖阳，逐光前行</w:t>
      </w:r>
      <w:r>
        <w:rPr>
          <w:rFonts w:hint="eastAsia" w:ascii="仿宋" w:hAnsi="仿宋" w:eastAsia="仿宋" w:cs="宋体"/>
          <w:sz w:val="28"/>
          <w:szCs w:val="28"/>
        </w:rPr>
        <w:t>”的主题，可围绕人际交往、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恋爱心理、目标规划</w:t>
      </w:r>
      <w:r>
        <w:rPr>
          <w:rFonts w:hint="eastAsia" w:ascii="仿宋" w:hAnsi="仿宋" w:eastAsia="仿宋" w:cs="宋体"/>
          <w:sz w:val="28"/>
          <w:szCs w:val="28"/>
        </w:rPr>
        <w:t>、情绪管理、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压力应对、生命教育</w:t>
      </w:r>
      <w:r>
        <w:rPr>
          <w:rFonts w:hint="eastAsia" w:ascii="仿宋" w:hAnsi="仿宋" w:eastAsia="仿宋" w:cs="宋体"/>
          <w:sz w:val="28"/>
          <w:szCs w:val="28"/>
        </w:rPr>
        <w:t>等内容展开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思想内容健康向上，情节生动，突显成长历程中的心理冲突与协调解决过程，融合心理学原理唤起情感共鸣。</w:t>
      </w:r>
    </w:p>
    <w:p>
      <w:pPr>
        <w:widowControl/>
        <w:spacing w:before="46" w:beforeLines="15" w:after="46" w:afterLines="1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2.2创意性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形式富有创意性，有吸引力，具有较强的可观性。作品要求原创，严禁剽窃、抄袭他人或网上作品。一经发现立即取消参赛资格和所有成绩。同时，欢迎同学们</w:t>
      </w:r>
      <w:r>
        <w:rPr>
          <w:rFonts w:ascii="仿宋" w:hAnsi="仿宋" w:eastAsia="仿宋" w:cs="宋体"/>
          <w:sz w:val="28"/>
          <w:szCs w:val="28"/>
        </w:rPr>
        <w:t>共同监督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spacing w:before="46" w:beforeLines="15" w:after="46" w:afterLines="1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2.3表演性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人物表现自然入戏，充分体现角色心声，人物关系明确，使观众易于理解，剧情完整连贯，镜头表现及拍摄到位，处理细腻，使观众观影顺畅。</w:t>
      </w:r>
    </w:p>
    <w:p>
      <w:pPr>
        <w:widowControl/>
        <w:spacing w:before="46" w:beforeLines="15" w:after="46" w:afterLines="1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2.4技术性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（1）剪辑：剧情精炼不冗长。字幕清晰，大小合适。具有一定的审美意识和水平。</w:t>
      </w:r>
    </w:p>
    <w:p>
      <w:pPr>
        <w:spacing w:line="460" w:lineRule="exact"/>
        <w:ind w:firstLine="560" w:firstLineChars="200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>（2）音频：音质辨识度高，声音纯亮，音效能适当渲染表现微电影主题，升华内容，增强效果，不喧宾夺主。</w:t>
      </w:r>
      <w:bookmarkStart w:id="2" w:name="_Toc5176669"/>
    </w:p>
    <w:p>
      <w:pPr>
        <w:widowControl/>
        <w:adjustRightInd w:val="0"/>
        <w:spacing w:before="156" w:beforeLines="50" w:after="156" w:afterLines="5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二、评分表</w:t>
      </w:r>
      <w:bookmarkEnd w:id="2"/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8"/>
          <w:szCs w:val="28"/>
        </w:rPr>
        <w:t xml:space="preserve"> “</w:t>
      </w:r>
      <w:r>
        <w:rPr>
          <w:rFonts w:hint="eastAsia" w:ascii="黑体" w:hAnsi="黑体" w:eastAsia="黑体"/>
          <w:b/>
          <w:bCs/>
          <w:color w:val="000000"/>
          <w:kern w:val="0"/>
          <w:sz w:val="28"/>
          <w:szCs w:val="28"/>
          <w:lang w:val="en-US" w:eastAsia="zh-CN"/>
        </w:rPr>
        <w:t>心向暖阳，逐光前行</w:t>
      </w:r>
      <w:r>
        <w:rPr>
          <w:rFonts w:hint="eastAsia" w:ascii="黑体" w:hAnsi="黑体" w:eastAsia="黑体"/>
          <w:b/>
          <w:bCs/>
          <w:color w:val="000000"/>
          <w:kern w:val="0"/>
          <w:sz w:val="28"/>
          <w:szCs w:val="28"/>
        </w:rPr>
        <w:t>”心理微电影评分标准</w:t>
      </w:r>
    </w:p>
    <w:tbl>
      <w:tblPr>
        <w:tblStyle w:val="5"/>
        <w:tblW w:w="8970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586"/>
        <w:gridCol w:w="2268"/>
        <w:gridCol w:w="2409"/>
        <w:gridCol w:w="2161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8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  <w:t>心理微电影评分标准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</w:trPr>
        <w:tc>
          <w:tcPr>
            <w:tcW w:w="9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指标</w:t>
            </w:r>
          </w:p>
        </w:tc>
        <w:tc>
          <w:tcPr>
            <w:tcW w:w="6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评价要求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良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需努力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评委评分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tblCellSpacing w:w="0" w:type="dxa"/>
        </w:trPr>
        <w:tc>
          <w:tcPr>
            <w:tcW w:w="4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主题内容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符合大赛主题，思想内容健康向上；以多样的形式体现个人成长的心理冲突及协调方式，巧妙唤起情感共鸣，体现对自我心理健康的正视与重视。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比较符合大赛主题，思想内容健康向上；体现个人成长的心理冲突及协调方式，不能较好地唤起情感共鸣，体现对个人心理健康的正视与重视。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勉强符合大赛主题，思想内容健康向上；难以唤起情感共鸣，体现对心理健康的正视与重视方面较为模糊。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tblCellSpacing w:w="0" w:type="dxa"/>
        </w:trPr>
        <w:tc>
          <w:tcPr>
            <w:tcW w:w="4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整个微电影故事清晰完整，组织流畅；特色鲜明，具有较强的感染力；具有优秀的价值观，具有较高的思想性与启发性。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整个微电影故事线比较清晰，组织较流畅；特色比较鲜明，具有一定的感染力；具有一定的价值观，具有一定的思想性与启发性。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整个微电影情节混乱且不流畅；没有特色，感染力不强；具有一定的价值观，缺乏思想性与启发性。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  <w:tblCellSpacing w:w="0" w:type="dxa"/>
        </w:trPr>
        <w:tc>
          <w:tcPr>
            <w:tcW w:w="4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整个微电影剪辑完整连贯，简洁自然，色彩搭配合理，镜头表现及拍摄到位，字幕与画面匹配， 审美意识和水平高。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整个微电影剪辑比较完整连贯，但不够简洁自然，色彩搭配普通，镜头表现及拍摄到位，字幕与画面匹配，审美意识和水平较高。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整个微电影剪辑稍显混乱，切换场景突兀，色彩搭配失调，镜头表现及拍摄不到位，审美意识和水平有待加强。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tblCellSpacing w:w="0" w:type="dxa"/>
        </w:trPr>
        <w:tc>
          <w:tcPr>
            <w:tcW w:w="4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能准确、合理地使用外部的多媒体素材，如相关声音、动画、视频素材等；能够渲染表现微电影的主题，具有艺术表现力，升华内容，增强效果。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能较准确、合理地使用外部的多媒体素材，如相关声音、动画、视频素材等；一定程度上能够渲染表现微电影的主题，具有一定的艺术表现力，升华内容。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不能准确、合理地使用外部的多媒体素材，如相关声音、动画、视频素材等，不能够渲染表现微电影的主题，艺术表现力差，难以升华内容。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tblCellSpacing w:w="0" w:type="dxa"/>
        </w:trPr>
        <w:tc>
          <w:tcPr>
            <w:tcW w:w="4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表演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人物表现自然入戏，充分体现角色心声。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人物表现比较自然，部分体现角色心声。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人物表现尴尬不自然，未体现角色心声。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tblCellSpacing w:w="0" w:type="dxa"/>
        </w:trPr>
        <w:tc>
          <w:tcPr>
            <w:tcW w:w="4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具有表演张力，感染力强，情节处理细腻。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较有表演张力，感染力一般，细节处理较为细腻。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表演敷衍，没有感染力，细节处理粗糙。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</w:trPr>
        <w:tc>
          <w:tcPr>
            <w:tcW w:w="4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创新性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主题内容有创新，独到深刻；且表现手法和表现方式与众不同。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主题选取稍具特色；且表现手法和表现方式较有特点。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主题选取普通，表现手法和表现方式常规。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</w:trPr>
        <w:tc>
          <w:tcPr>
            <w:tcW w:w="4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制作匠心独运，能够使用多种技术进行后期处理，效果佳。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技术上稍具创新特色，效果比较好。</w:t>
            </w:r>
          </w:p>
        </w:tc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技术上使用常规技术手段，效果普通。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tblCellSpacing w:w="0" w:type="dxa"/>
        </w:trPr>
        <w:tc>
          <w:tcPr>
            <w:tcW w:w="78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合计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黑体" w:hAnsi="黑体" w:eastAsia="黑体" w:cs="Arial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hint="eastAsia" w:ascii="黑体" w:hAnsi="黑体" w:eastAsia="黑体" w:cs="Arial"/>
          <w:sz w:val="24"/>
          <w:szCs w:val="24"/>
        </w:rPr>
      </w:pPr>
      <w:r>
        <w:rPr>
          <w:rFonts w:hint="eastAsia" w:ascii="黑体" w:hAnsi="黑体" w:eastAsia="黑体" w:cs="Arial"/>
          <w:sz w:val="24"/>
          <w:szCs w:val="24"/>
        </w:rPr>
        <w:t>学生工作部（处）</w:t>
      </w:r>
    </w:p>
    <w:p>
      <w:pPr>
        <w:wordWrap w:val="0"/>
        <w:spacing w:line="360" w:lineRule="auto"/>
        <w:jc w:val="right"/>
        <w:rPr>
          <w:rFonts w:hint="default" w:ascii="黑体" w:hAnsi="黑体" w:eastAsia="黑体" w:cs="Arial"/>
          <w:sz w:val="24"/>
          <w:szCs w:val="24"/>
          <w:lang w:val="en-US" w:eastAsia="zh-CN"/>
        </w:rPr>
      </w:pPr>
      <w:r>
        <w:rPr>
          <w:rFonts w:hint="eastAsia" w:ascii="黑体" w:hAnsi="黑体" w:eastAsia="黑体" w:cs="Arial"/>
          <w:sz w:val="24"/>
          <w:szCs w:val="24"/>
          <w:lang w:val="en-US" w:eastAsia="zh-CN"/>
        </w:rPr>
        <w:t>研究生工作部</w:t>
      </w:r>
    </w:p>
    <w:p>
      <w:pPr>
        <w:spacing w:line="360" w:lineRule="auto"/>
        <w:jc w:val="right"/>
        <w:rPr>
          <w:rFonts w:ascii="黑体" w:hAnsi="黑体" w:eastAsia="黑体" w:cs="Arial"/>
          <w:sz w:val="24"/>
          <w:szCs w:val="24"/>
        </w:rPr>
      </w:pPr>
      <w:r>
        <w:rPr>
          <w:rFonts w:hint="eastAsia" w:ascii="黑体" w:hAnsi="黑体" w:eastAsia="黑体" w:cs="Arial"/>
          <w:sz w:val="24"/>
          <w:szCs w:val="24"/>
        </w:rPr>
        <w:t>心理健康教育中心</w:t>
      </w:r>
    </w:p>
    <w:p>
      <w:pPr>
        <w:spacing w:line="360" w:lineRule="auto"/>
        <w:jc w:val="right"/>
        <w:rPr>
          <w:rFonts w:hint="default" w:ascii="黑体" w:hAnsi="黑体" w:eastAsia="黑体" w:cs="Arial"/>
          <w:sz w:val="24"/>
          <w:szCs w:val="24"/>
          <w:lang w:val="en-US" w:eastAsia="zh-CN"/>
        </w:rPr>
      </w:pPr>
      <w:r>
        <w:rPr>
          <w:rFonts w:hint="eastAsia" w:ascii="黑体" w:hAnsi="黑体" w:eastAsia="黑体" w:cs="Arial"/>
          <w:sz w:val="24"/>
          <w:szCs w:val="24"/>
          <w:lang w:val="en-US" w:eastAsia="zh-CN"/>
        </w:rPr>
        <w:t>2024年4月19</w:t>
      </w:r>
      <w:bookmarkStart w:id="3" w:name="_GoBack"/>
      <w:bookmarkEnd w:id="3"/>
      <w:r>
        <w:rPr>
          <w:rFonts w:hint="eastAsia" w:ascii="黑体" w:hAnsi="黑体" w:eastAsia="黑体" w:cs="Arial"/>
          <w:sz w:val="24"/>
          <w:szCs w:val="24"/>
          <w:lang w:val="en-US" w:eastAsia="zh-CN"/>
        </w:rPr>
        <w:t>日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lmMTQ1ZTQ2ZmYwZmJjYmZkNGFlZjViNDJmMDQifQ=="/>
  </w:docVars>
  <w:rsids>
    <w:rsidRoot w:val="4ECF52D8"/>
    <w:rsid w:val="01C005EA"/>
    <w:rsid w:val="0C1F74B6"/>
    <w:rsid w:val="1DAD6746"/>
    <w:rsid w:val="222D32B6"/>
    <w:rsid w:val="2A0205A1"/>
    <w:rsid w:val="2A067935"/>
    <w:rsid w:val="3D3C482B"/>
    <w:rsid w:val="41895ACE"/>
    <w:rsid w:val="42B477FD"/>
    <w:rsid w:val="46C37491"/>
    <w:rsid w:val="4C7F220F"/>
    <w:rsid w:val="4E3552B4"/>
    <w:rsid w:val="4ECF52D8"/>
    <w:rsid w:val="4FBF6391"/>
    <w:rsid w:val="4FCF0C9F"/>
    <w:rsid w:val="56C80A77"/>
    <w:rsid w:val="5950593A"/>
    <w:rsid w:val="68284DB9"/>
    <w:rsid w:val="6D8D0448"/>
    <w:rsid w:val="7AD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楷体_GB2312" w:hAnsi="楷体_GB2312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2"/>
    </w:pPr>
    <w:rPr>
      <w:rFonts w:ascii="仿宋_GB2312" w:hAnsi="仿宋_GB2312" w:eastAsia="仿宋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高粱</dc:creator>
  <cp:lastModifiedBy>高粱</cp:lastModifiedBy>
  <dcterms:modified xsi:type="dcterms:W3CDTF">2024-04-19T06:25:50Z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4CAE3470759F42A29A537C19219B4C44_11</vt:lpwstr>
  </property>
</Properties>
</file>