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微软雅黑" w:hAnsi="微软雅黑" w:eastAsia="微软雅黑" w:cs="微软雅黑"/>
          <w:b/>
          <w:kern w:val="0"/>
          <w:sz w:val="32"/>
          <w:szCs w:val="32"/>
        </w:rPr>
      </w:pPr>
      <w:r>
        <w:rPr>
          <w:rFonts w:hint="eastAsia" w:ascii="微软雅黑" w:hAnsi="微软雅黑" w:eastAsia="微软雅黑" w:cs="微软雅黑"/>
          <w:b/>
          <w:kern w:val="0"/>
          <w:sz w:val="32"/>
          <w:szCs w:val="32"/>
        </w:rPr>
        <w:t>2022年土建学院普通全日制本科学生转专业工作实施细则</w:t>
      </w:r>
    </w:p>
    <w:p>
      <w:pPr>
        <w:ind w:left="-199" w:leftChars="-190" w:right="-92" w:rightChars="-44" w:hanging="200" w:hangingChars="95"/>
        <w:jc w:val="center"/>
        <w:rPr>
          <w:b/>
          <w:bCs/>
          <w:szCs w:val="21"/>
        </w:rPr>
      </w:pPr>
    </w:p>
    <w:p>
      <w:pPr>
        <w:spacing w:line="440" w:lineRule="exact"/>
        <w:ind w:firstLine="480" w:firstLineChars="200"/>
        <w:rPr>
          <w:bCs/>
          <w:sz w:val="24"/>
        </w:rPr>
      </w:pPr>
      <w:r>
        <w:rPr>
          <w:bCs/>
          <w:sz w:val="24"/>
        </w:rPr>
        <w:t>为提高学生学习的积极性、主动性和创造性，根据学校《普通全日制本科学生学籍管理规定》中的相关规定和教务处有关通知，为做好转专业工作，经土建</w:t>
      </w:r>
      <w:r>
        <w:rPr>
          <w:rFonts w:hint="eastAsia"/>
          <w:bCs/>
          <w:sz w:val="24"/>
        </w:rPr>
        <w:t>学院</w:t>
      </w:r>
      <w:r>
        <w:rPr>
          <w:bCs/>
          <w:sz w:val="24"/>
        </w:rPr>
        <w:t>党政联席会讨论，成立2022年转专业工作领导小组，具体工作安排和要求如下：</w:t>
      </w:r>
    </w:p>
    <w:p>
      <w:pPr>
        <w:spacing w:before="156" w:beforeLines="50" w:after="156" w:afterLines="50" w:line="440" w:lineRule="exact"/>
        <w:rPr>
          <w:b/>
          <w:bCs/>
          <w:sz w:val="24"/>
        </w:rPr>
      </w:pPr>
      <w:r>
        <w:rPr>
          <w:b/>
          <w:bCs/>
          <w:sz w:val="24"/>
        </w:rPr>
        <w:t>一、转专业工作小组：</w:t>
      </w:r>
    </w:p>
    <w:p>
      <w:pPr>
        <w:spacing w:line="440" w:lineRule="exact"/>
        <w:ind w:firstLine="480" w:firstLineChars="200"/>
        <w:rPr>
          <w:bCs/>
          <w:sz w:val="24"/>
        </w:rPr>
      </w:pPr>
      <w:r>
        <w:rPr>
          <w:bCs/>
          <w:sz w:val="24"/>
        </w:rPr>
        <w:t>组    长：范小春</w:t>
      </w:r>
    </w:p>
    <w:p>
      <w:pPr>
        <w:spacing w:line="440" w:lineRule="exact"/>
        <w:ind w:firstLine="480" w:firstLineChars="200"/>
        <w:rPr>
          <w:bCs/>
          <w:sz w:val="24"/>
        </w:rPr>
      </w:pPr>
      <w:r>
        <w:rPr>
          <w:bCs/>
          <w:sz w:val="24"/>
        </w:rPr>
        <w:t>副 组 长：陈秋菊（纪委书记）、 林  凯</w:t>
      </w:r>
    </w:p>
    <w:p>
      <w:pPr>
        <w:spacing w:line="440" w:lineRule="exact"/>
        <w:ind w:left="1932" w:leftChars="200" w:hanging="1512" w:hangingChars="600"/>
        <w:jc w:val="left"/>
        <w:rPr>
          <w:bCs/>
          <w:sz w:val="24"/>
        </w:rPr>
      </w:pPr>
      <w:r>
        <w:rPr>
          <w:bCs/>
          <w:w w:val="105"/>
          <w:sz w:val="24"/>
        </w:rPr>
        <w:t>小组成员：</w:t>
      </w:r>
      <w:r>
        <w:rPr>
          <w:bCs/>
          <w:sz w:val="24"/>
        </w:rPr>
        <w:t>黄  斌、康俊涛、陈  成、张翔凌、陈  伟、明廷臻、陈  铭</w:t>
      </w:r>
    </w:p>
    <w:p>
      <w:pPr>
        <w:spacing w:line="440" w:lineRule="exact"/>
        <w:ind w:firstLine="1680" w:firstLineChars="700"/>
        <w:rPr>
          <w:bCs/>
          <w:sz w:val="24"/>
        </w:rPr>
      </w:pPr>
      <w:r>
        <w:rPr>
          <w:bCs/>
          <w:sz w:val="24"/>
        </w:rPr>
        <w:t>刘雯洁、牛玉玺、陈倩文、周  晨</w:t>
      </w:r>
    </w:p>
    <w:p>
      <w:pPr>
        <w:spacing w:before="156" w:beforeLines="50" w:after="156" w:afterLines="50" w:line="440" w:lineRule="exact"/>
        <w:rPr>
          <w:b/>
          <w:bCs/>
          <w:sz w:val="24"/>
        </w:rPr>
      </w:pPr>
      <w:r>
        <w:rPr>
          <w:b/>
          <w:bCs/>
          <w:sz w:val="24"/>
        </w:rPr>
        <w:t>二、转专业的对象及人数</w:t>
      </w:r>
    </w:p>
    <w:p>
      <w:pPr>
        <w:spacing w:line="440" w:lineRule="exact"/>
        <w:ind w:firstLine="480" w:firstLineChars="200"/>
        <w:rPr>
          <w:bCs/>
          <w:sz w:val="24"/>
        </w:rPr>
      </w:pPr>
      <w:r>
        <w:rPr>
          <w:bCs/>
          <w:sz w:val="24"/>
        </w:rPr>
        <w:t>1. 本次转专业的对象原则上为我校2020级、2021级普通全日制在校本科学生。</w:t>
      </w:r>
    </w:p>
    <w:p>
      <w:pPr>
        <w:spacing w:line="440" w:lineRule="exact"/>
        <w:ind w:firstLine="480" w:firstLineChars="200"/>
        <w:rPr>
          <w:bCs/>
          <w:sz w:val="24"/>
        </w:rPr>
      </w:pPr>
      <w:r>
        <w:rPr>
          <w:bCs/>
          <w:sz w:val="24"/>
        </w:rPr>
        <w:t>2. 2020级以前的在校学生，确有特殊情况、不转专业无法继续学习的可提出申请。</w:t>
      </w:r>
    </w:p>
    <w:p>
      <w:pPr>
        <w:spacing w:line="440" w:lineRule="exact"/>
        <w:ind w:firstLine="480" w:firstLineChars="200"/>
        <w:rPr>
          <w:bCs/>
          <w:sz w:val="24"/>
        </w:rPr>
      </w:pPr>
      <w:r>
        <w:rPr>
          <w:bCs/>
          <w:sz w:val="24"/>
        </w:rPr>
        <w:t>3. 我院各专业可接收转入学生数如下表：</w:t>
      </w:r>
    </w:p>
    <w:p>
      <w:pPr>
        <w:spacing w:line="440" w:lineRule="exact"/>
        <w:ind w:firstLine="480" w:firstLineChars="200"/>
        <w:rPr>
          <w:bCs/>
          <w:sz w:val="24"/>
        </w:rPr>
      </w:pP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3740"/>
        <w:gridCol w:w="899"/>
        <w:gridCol w:w="12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0" w:type="auto"/>
            <w:tcMar>
              <w:top w:w="0" w:type="dxa"/>
              <w:left w:w="108" w:type="dxa"/>
              <w:bottom w:w="0" w:type="dxa"/>
              <w:right w:w="108" w:type="dxa"/>
            </w:tcMar>
            <w:vAlign w:val="center"/>
          </w:tcPr>
          <w:p>
            <w:pPr>
              <w:widowControl/>
              <w:adjustRightInd w:val="0"/>
              <w:snapToGrid w:val="0"/>
              <w:spacing w:line="440" w:lineRule="exact"/>
              <w:jc w:val="center"/>
              <w:rPr>
                <w:kern w:val="0"/>
                <w:szCs w:val="21"/>
              </w:rPr>
            </w:pPr>
            <w:r>
              <w:rPr>
                <w:b/>
                <w:bCs/>
                <w:kern w:val="0"/>
                <w:szCs w:val="21"/>
              </w:rPr>
              <w:t>专业名称</w:t>
            </w:r>
          </w:p>
        </w:tc>
        <w:tc>
          <w:tcPr>
            <w:tcW w:w="0" w:type="auto"/>
            <w:tcMar>
              <w:top w:w="0" w:type="dxa"/>
              <w:left w:w="108" w:type="dxa"/>
              <w:bottom w:w="0" w:type="dxa"/>
              <w:right w:w="108" w:type="dxa"/>
            </w:tcMar>
            <w:vAlign w:val="center"/>
          </w:tcPr>
          <w:p>
            <w:pPr>
              <w:widowControl/>
              <w:adjustRightInd w:val="0"/>
              <w:snapToGrid w:val="0"/>
              <w:spacing w:line="440" w:lineRule="exact"/>
              <w:jc w:val="center"/>
              <w:rPr>
                <w:kern w:val="0"/>
                <w:szCs w:val="21"/>
              </w:rPr>
            </w:pPr>
            <w:r>
              <w:rPr>
                <w:b/>
                <w:bCs/>
                <w:kern w:val="0"/>
                <w:szCs w:val="21"/>
              </w:rPr>
              <w:t>年级</w:t>
            </w:r>
          </w:p>
        </w:tc>
        <w:tc>
          <w:tcPr>
            <w:tcW w:w="0" w:type="auto"/>
            <w:tcMar>
              <w:top w:w="0" w:type="dxa"/>
              <w:left w:w="108" w:type="dxa"/>
              <w:bottom w:w="0" w:type="dxa"/>
              <w:right w:w="108" w:type="dxa"/>
            </w:tcMar>
            <w:vAlign w:val="center"/>
          </w:tcPr>
          <w:p>
            <w:pPr>
              <w:widowControl/>
              <w:adjustRightInd w:val="0"/>
              <w:snapToGrid w:val="0"/>
              <w:spacing w:line="440" w:lineRule="exact"/>
              <w:jc w:val="center"/>
              <w:rPr>
                <w:kern w:val="0"/>
                <w:szCs w:val="21"/>
              </w:rPr>
            </w:pPr>
            <w:r>
              <w:rPr>
                <w:b/>
                <w:bCs/>
                <w:kern w:val="0"/>
                <w:szCs w:val="21"/>
              </w:rPr>
              <w:t>可接收人数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0" w:type="auto"/>
            <w:tcMar>
              <w:top w:w="0" w:type="dxa"/>
              <w:left w:w="108" w:type="dxa"/>
              <w:bottom w:w="0" w:type="dxa"/>
              <w:right w:w="108" w:type="dxa"/>
            </w:tcMar>
            <w:vAlign w:val="center"/>
          </w:tcPr>
          <w:p>
            <w:pPr>
              <w:widowControl/>
              <w:adjustRightInd w:val="0"/>
              <w:snapToGrid w:val="0"/>
              <w:spacing w:line="440" w:lineRule="exact"/>
              <w:jc w:val="center"/>
              <w:rPr>
                <w:rFonts w:hint="eastAsia" w:eastAsia="宋体"/>
                <w:kern w:val="0"/>
                <w:sz w:val="24"/>
                <w:lang w:eastAsia="zh-CN"/>
              </w:rPr>
            </w:pPr>
            <w:r>
              <w:rPr>
                <w:rFonts w:hint="eastAsia"/>
                <w:lang w:eastAsia="zh-CN"/>
              </w:rPr>
              <w:t>土木工程（卓越建工方向）</w:t>
            </w:r>
          </w:p>
        </w:tc>
        <w:tc>
          <w:tcPr>
            <w:tcW w:w="0" w:type="auto"/>
            <w:vMerge w:val="restart"/>
            <w:tcMar>
              <w:top w:w="0" w:type="dxa"/>
              <w:left w:w="108" w:type="dxa"/>
              <w:bottom w:w="0" w:type="dxa"/>
              <w:right w:w="108" w:type="dxa"/>
            </w:tcMar>
            <w:vAlign w:val="center"/>
          </w:tcPr>
          <w:p>
            <w:pPr>
              <w:adjustRightInd w:val="0"/>
              <w:snapToGrid w:val="0"/>
              <w:spacing w:line="440" w:lineRule="exact"/>
              <w:jc w:val="center"/>
            </w:pPr>
            <w:r>
              <w:t>2021级</w:t>
            </w:r>
          </w:p>
        </w:tc>
        <w:tc>
          <w:tcPr>
            <w:tcW w:w="0" w:type="auto"/>
            <w:tcMar>
              <w:top w:w="0" w:type="dxa"/>
              <w:left w:w="108" w:type="dxa"/>
              <w:bottom w:w="0" w:type="dxa"/>
              <w:right w:w="108" w:type="dxa"/>
            </w:tcMar>
            <w:vAlign w:val="center"/>
          </w:tcPr>
          <w:p>
            <w:pPr>
              <w:widowControl/>
              <w:adjustRightInd w:val="0"/>
              <w:snapToGrid w:val="0"/>
              <w:spacing w:line="440" w:lineRule="exact"/>
              <w:jc w:val="center"/>
              <w:rPr>
                <w:rFonts w:hint="default" w:eastAsia="宋体"/>
                <w:kern w:val="0"/>
                <w:szCs w:val="21"/>
                <w:lang w:val="en-US" w:eastAsia="zh-CN"/>
              </w:rPr>
            </w:pPr>
            <w:r>
              <w:rPr>
                <w:rFonts w:hint="eastAsia"/>
                <w:kern w:val="0"/>
                <w:szCs w:val="21"/>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0" w:type="auto"/>
            <w:tcMar>
              <w:top w:w="0" w:type="dxa"/>
              <w:left w:w="108" w:type="dxa"/>
              <w:bottom w:w="0" w:type="dxa"/>
              <w:right w:w="108" w:type="dxa"/>
            </w:tcMar>
            <w:vAlign w:val="center"/>
          </w:tcPr>
          <w:p>
            <w:pPr>
              <w:widowControl/>
              <w:adjustRightInd w:val="0"/>
              <w:snapToGrid w:val="0"/>
              <w:spacing w:line="440" w:lineRule="exact"/>
              <w:jc w:val="center"/>
              <w:rPr>
                <w:rFonts w:hint="eastAsia"/>
                <w:lang w:eastAsia="zh-CN"/>
              </w:rPr>
            </w:pPr>
            <w:r>
              <w:rPr>
                <w:rFonts w:hint="eastAsia"/>
                <w:lang w:eastAsia="zh-CN"/>
              </w:rPr>
              <w:t>土木工程（卓越道桥方向）</w:t>
            </w:r>
          </w:p>
        </w:tc>
        <w:tc>
          <w:tcPr>
            <w:tcW w:w="0" w:type="auto"/>
            <w:vMerge w:val="continue"/>
            <w:tcMar>
              <w:top w:w="0" w:type="dxa"/>
              <w:left w:w="108" w:type="dxa"/>
              <w:bottom w:w="0" w:type="dxa"/>
              <w:right w:w="108" w:type="dxa"/>
            </w:tcMar>
            <w:vAlign w:val="center"/>
          </w:tcPr>
          <w:p>
            <w:pPr>
              <w:adjustRightInd w:val="0"/>
              <w:snapToGrid w:val="0"/>
              <w:spacing w:line="440" w:lineRule="exact"/>
              <w:jc w:val="center"/>
            </w:pPr>
          </w:p>
        </w:tc>
        <w:tc>
          <w:tcPr>
            <w:tcW w:w="0" w:type="auto"/>
            <w:tcMar>
              <w:top w:w="0" w:type="dxa"/>
              <w:left w:w="108" w:type="dxa"/>
              <w:bottom w:w="0" w:type="dxa"/>
              <w:right w:w="108" w:type="dxa"/>
            </w:tcMar>
            <w:vAlign w:val="center"/>
          </w:tcPr>
          <w:p>
            <w:pPr>
              <w:widowControl/>
              <w:adjustRightInd w:val="0"/>
              <w:snapToGrid w:val="0"/>
              <w:spacing w:line="440" w:lineRule="exact"/>
              <w:jc w:val="center"/>
              <w:rPr>
                <w:rFonts w:hint="default"/>
                <w:kern w:val="0"/>
                <w:szCs w:val="21"/>
                <w:lang w:val="en-US" w:eastAsia="zh-CN"/>
              </w:rPr>
            </w:pPr>
            <w:r>
              <w:rPr>
                <w:rFonts w:hint="eastAsia"/>
                <w:kern w:val="0"/>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0" w:type="auto"/>
            <w:tcMar>
              <w:top w:w="0" w:type="dxa"/>
              <w:left w:w="108" w:type="dxa"/>
              <w:bottom w:w="0" w:type="dxa"/>
              <w:right w:w="108" w:type="dxa"/>
            </w:tcMar>
            <w:vAlign w:val="center"/>
          </w:tcPr>
          <w:p>
            <w:pPr>
              <w:widowControl/>
              <w:adjustRightInd w:val="0"/>
              <w:snapToGrid w:val="0"/>
              <w:spacing w:line="440" w:lineRule="exact"/>
              <w:jc w:val="center"/>
              <w:rPr>
                <w:rFonts w:hint="eastAsia" w:eastAsia="宋体"/>
                <w:lang w:eastAsia="zh-CN"/>
              </w:rPr>
            </w:pPr>
            <w:r>
              <w:rPr>
                <w:rFonts w:hint="eastAsia"/>
                <w:lang w:eastAsia="zh-CN"/>
              </w:rPr>
              <w:t>给排水科学与工程</w:t>
            </w:r>
          </w:p>
        </w:tc>
        <w:tc>
          <w:tcPr>
            <w:tcW w:w="0" w:type="auto"/>
            <w:vMerge w:val="continue"/>
            <w:tcMar>
              <w:top w:w="0" w:type="dxa"/>
              <w:left w:w="108" w:type="dxa"/>
              <w:bottom w:w="0" w:type="dxa"/>
              <w:right w:w="108" w:type="dxa"/>
            </w:tcMar>
            <w:vAlign w:val="center"/>
          </w:tcPr>
          <w:p>
            <w:pPr>
              <w:adjustRightInd w:val="0"/>
              <w:snapToGrid w:val="0"/>
              <w:spacing w:line="440" w:lineRule="exact"/>
              <w:jc w:val="center"/>
            </w:pPr>
          </w:p>
        </w:tc>
        <w:tc>
          <w:tcPr>
            <w:tcW w:w="0" w:type="auto"/>
            <w:tcMar>
              <w:top w:w="0" w:type="dxa"/>
              <w:left w:w="108" w:type="dxa"/>
              <w:bottom w:w="0" w:type="dxa"/>
              <w:right w:w="108" w:type="dxa"/>
            </w:tcMar>
            <w:vAlign w:val="center"/>
          </w:tcPr>
          <w:p>
            <w:pPr>
              <w:widowControl/>
              <w:adjustRightInd w:val="0"/>
              <w:snapToGrid w:val="0"/>
              <w:spacing w:line="440" w:lineRule="exact"/>
              <w:jc w:val="center"/>
              <w:rPr>
                <w:rFonts w:hint="default" w:eastAsia="宋体"/>
                <w:kern w:val="0"/>
                <w:szCs w:val="21"/>
                <w:lang w:val="en-US" w:eastAsia="zh-CN"/>
              </w:rPr>
            </w:pPr>
            <w:r>
              <w:rPr>
                <w:rFonts w:hint="eastAsia"/>
                <w:kern w:val="0"/>
                <w:szCs w:val="21"/>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0" w:type="auto"/>
            <w:tcMar>
              <w:top w:w="0" w:type="dxa"/>
              <w:left w:w="108" w:type="dxa"/>
              <w:bottom w:w="0" w:type="dxa"/>
              <w:right w:w="108" w:type="dxa"/>
            </w:tcMar>
            <w:vAlign w:val="center"/>
          </w:tcPr>
          <w:p>
            <w:pPr>
              <w:widowControl/>
              <w:adjustRightInd w:val="0"/>
              <w:snapToGrid w:val="0"/>
              <w:spacing w:line="440" w:lineRule="exact"/>
              <w:jc w:val="center"/>
              <w:rPr>
                <w:rFonts w:hint="default" w:eastAsia="宋体"/>
                <w:lang w:val="en-US" w:eastAsia="zh-CN"/>
              </w:rPr>
            </w:pPr>
            <w:r>
              <w:rPr>
                <w:rFonts w:hint="eastAsia"/>
                <w:lang w:eastAsia="zh-CN"/>
              </w:rPr>
              <w:t>工程管理（项目管理</w:t>
            </w:r>
            <w:r>
              <w:rPr>
                <w:rFonts w:hint="eastAsia"/>
                <w:lang w:val="en-US" w:eastAsia="zh-CN"/>
              </w:rPr>
              <w:t>&amp;工程造价方向</w:t>
            </w:r>
            <w:r>
              <w:rPr>
                <w:rFonts w:hint="eastAsia"/>
                <w:lang w:eastAsia="zh-CN"/>
              </w:rPr>
              <w:t>）</w:t>
            </w:r>
          </w:p>
        </w:tc>
        <w:tc>
          <w:tcPr>
            <w:tcW w:w="0" w:type="auto"/>
            <w:vMerge w:val="continue"/>
            <w:tcMar>
              <w:top w:w="0" w:type="dxa"/>
              <w:left w:w="108" w:type="dxa"/>
              <w:bottom w:w="0" w:type="dxa"/>
              <w:right w:w="108" w:type="dxa"/>
            </w:tcMar>
            <w:vAlign w:val="center"/>
          </w:tcPr>
          <w:p>
            <w:pPr>
              <w:adjustRightInd w:val="0"/>
              <w:snapToGrid w:val="0"/>
              <w:spacing w:line="440" w:lineRule="exact"/>
              <w:jc w:val="center"/>
            </w:pPr>
          </w:p>
        </w:tc>
        <w:tc>
          <w:tcPr>
            <w:tcW w:w="0" w:type="auto"/>
            <w:tcMar>
              <w:top w:w="0" w:type="dxa"/>
              <w:left w:w="108" w:type="dxa"/>
              <w:bottom w:w="0" w:type="dxa"/>
              <w:right w:w="108" w:type="dxa"/>
            </w:tcMar>
            <w:vAlign w:val="center"/>
          </w:tcPr>
          <w:p>
            <w:pPr>
              <w:widowControl/>
              <w:adjustRightInd w:val="0"/>
              <w:snapToGrid w:val="0"/>
              <w:spacing w:line="440" w:lineRule="exact"/>
              <w:jc w:val="center"/>
              <w:rPr>
                <w:rFonts w:hint="default" w:eastAsia="宋体"/>
                <w:kern w:val="0"/>
                <w:szCs w:val="21"/>
                <w:lang w:val="en-US" w:eastAsia="zh-CN"/>
              </w:rPr>
            </w:pPr>
            <w:r>
              <w:rPr>
                <w:rFonts w:hint="eastAsia"/>
                <w:kern w:val="0"/>
                <w:szCs w:val="21"/>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0" w:type="auto"/>
            <w:tcMar>
              <w:top w:w="0" w:type="dxa"/>
              <w:left w:w="108" w:type="dxa"/>
              <w:bottom w:w="0" w:type="dxa"/>
              <w:right w:w="108" w:type="dxa"/>
            </w:tcMar>
            <w:vAlign w:val="center"/>
          </w:tcPr>
          <w:p>
            <w:pPr>
              <w:widowControl/>
              <w:adjustRightInd w:val="0"/>
              <w:snapToGrid w:val="0"/>
              <w:spacing w:line="440" w:lineRule="exact"/>
              <w:jc w:val="center"/>
              <w:rPr>
                <w:rFonts w:hint="eastAsia"/>
                <w:lang w:eastAsia="zh-CN"/>
              </w:rPr>
            </w:pPr>
            <w:r>
              <w:rPr>
                <w:rFonts w:hint="eastAsia"/>
                <w:lang w:eastAsia="zh-CN"/>
              </w:rPr>
              <w:t>工程管理（智能建造方向）</w:t>
            </w:r>
          </w:p>
        </w:tc>
        <w:tc>
          <w:tcPr>
            <w:tcW w:w="0" w:type="auto"/>
            <w:vMerge w:val="continue"/>
            <w:tcMar>
              <w:top w:w="0" w:type="dxa"/>
              <w:left w:w="108" w:type="dxa"/>
              <w:bottom w:w="0" w:type="dxa"/>
              <w:right w:w="108" w:type="dxa"/>
            </w:tcMar>
            <w:vAlign w:val="center"/>
          </w:tcPr>
          <w:p>
            <w:pPr>
              <w:adjustRightInd w:val="0"/>
              <w:snapToGrid w:val="0"/>
              <w:spacing w:line="440" w:lineRule="exact"/>
              <w:jc w:val="center"/>
            </w:pPr>
          </w:p>
        </w:tc>
        <w:tc>
          <w:tcPr>
            <w:tcW w:w="0" w:type="auto"/>
            <w:tcMar>
              <w:top w:w="0" w:type="dxa"/>
              <w:left w:w="108" w:type="dxa"/>
              <w:bottom w:w="0" w:type="dxa"/>
              <w:right w:w="108" w:type="dxa"/>
            </w:tcMar>
            <w:vAlign w:val="center"/>
          </w:tcPr>
          <w:p>
            <w:pPr>
              <w:widowControl/>
              <w:adjustRightInd w:val="0"/>
              <w:snapToGrid w:val="0"/>
              <w:spacing w:line="440" w:lineRule="exact"/>
              <w:jc w:val="center"/>
              <w:rPr>
                <w:rFonts w:hint="default"/>
                <w:kern w:val="0"/>
                <w:szCs w:val="21"/>
                <w:lang w:val="en-US" w:eastAsia="zh-CN"/>
              </w:rPr>
            </w:pPr>
            <w:r>
              <w:rPr>
                <w:rFonts w:hint="eastAsia"/>
                <w:kern w:val="0"/>
                <w:szCs w:val="21"/>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0" w:type="auto"/>
            <w:tcMar>
              <w:top w:w="0" w:type="dxa"/>
              <w:left w:w="108" w:type="dxa"/>
              <w:bottom w:w="0" w:type="dxa"/>
              <w:right w:w="108" w:type="dxa"/>
            </w:tcMar>
            <w:vAlign w:val="center"/>
          </w:tcPr>
          <w:p>
            <w:pPr>
              <w:widowControl/>
              <w:adjustRightInd w:val="0"/>
              <w:snapToGrid w:val="0"/>
              <w:spacing w:line="440" w:lineRule="exact"/>
              <w:jc w:val="center"/>
              <w:rPr>
                <w:rFonts w:hint="eastAsia" w:eastAsia="宋体"/>
                <w:lang w:eastAsia="zh-CN"/>
              </w:rPr>
            </w:pPr>
            <w:r>
              <w:rPr>
                <w:rFonts w:hint="eastAsia"/>
                <w:lang w:eastAsia="zh-CN"/>
              </w:rPr>
              <w:t>建筑环境与能源应用工程</w:t>
            </w:r>
          </w:p>
        </w:tc>
        <w:tc>
          <w:tcPr>
            <w:tcW w:w="0" w:type="auto"/>
            <w:vMerge w:val="continue"/>
            <w:tcMar>
              <w:top w:w="0" w:type="dxa"/>
              <w:left w:w="108" w:type="dxa"/>
              <w:bottom w:w="0" w:type="dxa"/>
              <w:right w:w="108" w:type="dxa"/>
            </w:tcMar>
            <w:vAlign w:val="center"/>
          </w:tcPr>
          <w:p>
            <w:pPr>
              <w:adjustRightInd w:val="0"/>
              <w:snapToGrid w:val="0"/>
              <w:spacing w:line="440" w:lineRule="exact"/>
              <w:jc w:val="center"/>
            </w:pPr>
          </w:p>
        </w:tc>
        <w:tc>
          <w:tcPr>
            <w:tcW w:w="0" w:type="auto"/>
            <w:tcMar>
              <w:top w:w="0" w:type="dxa"/>
              <w:left w:w="108" w:type="dxa"/>
              <w:bottom w:w="0" w:type="dxa"/>
              <w:right w:w="108" w:type="dxa"/>
            </w:tcMar>
            <w:vAlign w:val="center"/>
          </w:tcPr>
          <w:p>
            <w:pPr>
              <w:widowControl/>
              <w:adjustRightInd w:val="0"/>
              <w:snapToGrid w:val="0"/>
              <w:spacing w:line="440" w:lineRule="exact"/>
              <w:jc w:val="center"/>
              <w:rPr>
                <w:rFonts w:hint="eastAsia" w:eastAsia="宋体"/>
                <w:kern w:val="0"/>
                <w:szCs w:val="21"/>
                <w:lang w:val="en-US" w:eastAsia="zh-CN"/>
              </w:rPr>
            </w:pPr>
            <w:r>
              <w:rPr>
                <w:rFonts w:hint="eastAsia"/>
                <w:kern w:val="0"/>
                <w:szCs w:val="21"/>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0" w:type="auto"/>
            <w:tcMar>
              <w:top w:w="0" w:type="dxa"/>
              <w:left w:w="108" w:type="dxa"/>
              <w:bottom w:w="0" w:type="dxa"/>
              <w:right w:w="108" w:type="dxa"/>
            </w:tcMar>
            <w:vAlign w:val="center"/>
          </w:tcPr>
          <w:p>
            <w:pPr>
              <w:widowControl/>
              <w:adjustRightInd w:val="0"/>
              <w:snapToGrid w:val="0"/>
              <w:spacing w:line="440" w:lineRule="exact"/>
              <w:jc w:val="center"/>
              <w:rPr>
                <w:rFonts w:hint="eastAsia"/>
                <w:lang w:eastAsia="zh-CN"/>
              </w:rPr>
            </w:pPr>
            <w:r>
              <w:rPr>
                <w:rFonts w:hint="eastAsia"/>
                <w:lang w:eastAsia="zh-CN"/>
              </w:rPr>
              <w:t>城乡规划</w:t>
            </w:r>
          </w:p>
        </w:tc>
        <w:tc>
          <w:tcPr>
            <w:tcW w:w="0" w:type="auto"/>
            <w:vMerge w:val="continue"/>
            <w:tcMar>
              <w:top w:w="0" w:type="dxa"/>
              <w:left w:w="108" w:type="dxa"/>
              <w:bottom w:w="0" w:type="dxa"/>
              <w:right w:w="108" w:type="dxa"/>
            </w:tcMar>
            <w:vAlign w:val="center"/>
          </w:tcPr>
          <w:p>
            <w:pPr>
              <w:adjustRightInd w:val="0"/>
              <w:snapToGrid w:val="0"/>
              <w:spacing w:line="440" w:lineRule="exact"/>
              <w:jc w:val="center"/>
            </w:pPr>
          </w:p>
        </w:tc>
        <w:tc>
          <w:tcPr>
            <w:tcW w:w="0" w:type="auto"/>
            <w:tcMar>
              <w:top w:w="0" w:type="dxa"/>
              <w:left w:w="108" w:type="dxa"/>
              <w:bottom w:w="0" w:type="dxa"/>
              <w:right w:w="108" w:type="dxa"/>
            </w:tcMar>
            <w:vAlign w:val="center"/>
          </w:tcPr>
          <w:p>
            <w:pPr>
              <w:widowControl/>
              <w:adjustRightInd w:val="0"/>
              <w:snapToGrid w:val="0"/>
              <w:spacing w:line="440" w:lineRule="exact"/>
              <w:jc w:val="center"/>
              <w:rPr>
                <w:rFonts w:hint="eastAsia" w:eastAsia="宋体"/>
                <w:kern w:val="0"/>
                <w:szCs w:val="21"/>
                <w:lang w:val="en-US" w:eastAsia="zh-CN"/>
              </w:rPr>
            </w:pPr>
            <w:r>
              <w:rPr>
                <w:rFonts w:hint="eastAsia"/>
                <w:kern w:val="0"/>
                <w:szCs w:val="21"/>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0" w:type="auto"/>
            <w:tcMar>
              <w:top w:w="0" w:type="dxa"/>
              <w:left w:w="108" w:type="dxa"/>
              <w:bottom w:w="0" w:type="dxa"/>
              <w:right w:w="108" w:type="dxa"/>
            </w:tcMar>
            <w:vAlign w:val="center"/>
          </w:tcPr>
          <w:p>
            <w:pPr>
              <w:widowControl/>
              <w:adjustRightInd w:val="0"/>
              <w:snapToGrid w:val="0"/>
              <w:spacing w:line="440" w:lineRule="exact"/>
              <w:jc w:val="center"/>
              <w:rPr>
                <w:kern w:val="0"/>
                <w:sz w:val="24"/>
              </w:rPr>
            </w:pPr>
            <w:r>
              <w:t>土木工程（卓越建工</w:t>
            </w:r>
            <w:r>
              <w:rPr>
                <w:rFonts w:hint="eastAsia"/>
                <w:lang w:eastAsia="zh-CN"/>
              </w:rPr>
              <w:t>方向</w:t>
            </w:r>
            <w:r>
              <w:t>）</w:t>
            </w:r>
          </w:p>
        </w:tc>
        <w:tc>
          <w:tcPr>
            <w:tcW w:w="0" w:type="auto"/>
            <w:vMerge w:val="restart"/>
            <w:tcMar>
              <w:top w:w="0" w:type="dxa"/>
              <w:left w:w="108" w:type="dxa"/>
              <w:bottom w:w="0" w:type="dxa"/>
              <w:right w:w="108" w:type="dxa"/>
            </w:tcMar>
            <w:vAlign w:val="center"/>
          </w:tcPr>
          <w:p>
            <w:pPr>
              <w:adjustRightInd w:val="0"/>
              <w:snapToGrid w:val="0"/>
              <w:spacing w:line="440" w:lineRule="exact"/>
              <w:jc w:val="center"/>
            </w:pPr>
            <w:r>
              <w:t>2020级</w:t>
            </w:r>
          </w:p>
        </w:tc>
        <w:tc>
          <w:tcPr>
            <w:tcW w:w="0" w:type="auto"/>
            <w:tcMar>
              <w:top w:w="0" w:type="dxa"/>
              <w:left w:w="108" w:type="dxa"/>
              <w:bottom w:w="0" w:type="dxa"/>
              <w:right w:w="108" w:type="dxa"/>
            </w:tcMar>
            <w:vAlign w:val="center"/>
          </w:tcPr>
          <w:p>
            <w:pPr>
              <w:widowControl/>
              <w:adjustRightInd w:val="0"/>
              <w:snapToGrid w:val="0"/>
              <w:spacing w:line="440" w:lineRule="exact"/>
              <w:jc w:val="center"/>
              <w:rPr>
                <w:kern w:val="0"/>
                <w:szCs w:val="21"/>
              </w:rPr>
            </w:pPr>
            <w:r>
              <w:rPr>
                <w:kern w:val="0"/>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0" w:type="auto"/>
            <w:tcMar>
              <w:top w:w="0" w:type="dxa"/>
              <w:left w:w="108" w:type="dxa"/>
              <w:bottom w:w="0" w:type="dxa"/>
              <w:right w:w="108" w:type="dxa"/>
            </w:tcMar>
            <w:vAlign w:val="center"/>
          </w:tcPr>
          <w:p>
            <w:pPr>
              <w:widowControl/>
              <w:adjustRightInd w:val="0"/>
              <w:snapToGrid w:val="0"/>
              <w:spacing w:line="440" w:lineRule="exact"/>
              <w:jc w:val="center"/>
              <w:rPr>
                <w:kern w:val="0"/>
                <w:sz w:val="24"/>
              </w:rPr>
            </w:pPr>
            <w:r>
              <w:t>土木工程（卓越道桥</w:t>
            </w:r>
            <w:r>
              <w:rPr>
                <w:rFonts w:hint="eastAsia"/>
                <w:lang w:eastAsia="zh-CN"/>
              </w:rPr>
              <w:t>方向</w:t>
            </w:r>
            <w:r>
              <w:t>）</w:t>
            </w:r>
          </w:p>
        </w:tc>
        <w:tc>
          <w:tcPr>
            <w:tcW w:w="0" w:type="auto"/>
            <w:vMerge w:val="continue"/>
            <w:tcMar>
              <w:top w:w="0" w:type="dxa"/>
              <w:left w:w="108" w:type="dxa"/>
              <w:bottom w:w="0" w:type="dxa"/>
              <w:right w:w="108" w:type="dxa"/>
            </w:tcMar>
            <w:vAlign w:val="center"/>
          </w:tcPr>
          <w:p>
            <w:pPr>
              <w:adjustRightInd w:val="0"/>
              <w:snapToGrid w:val="0"/>
              <w:spacing w:line="440" w:lineRule="exact"/>
            </w:pPr>
          </w:p>
        </w:tc>
        <w:tc>
          <w:tcPr>
            <w:tcW w:w="0" w:type="auto"/>
            <w:tcMar>
              <w:top w:w="0" w:type="dxa"/>
              <w:left w:w="108" w:type="dxa"/>
              <w:bottom w:w="0" w:type="dxa"/>
              <w:right w:w="108" w:type="dxa"/>
            </w:tcMar>
            <w:vAlign w:val="center"/>
          </w:tcPr>
          <w:p>
            <w:pPr>
              <w:widowControl/>
              <w:adjustRightInd w:val="0"/>
              <w:snapToGrid w:val="0"/>
              <w:spacing w:line="440" w:lineRule="exact"/>
              <w:jc w:val="center"/>
              <w:rPr>
                <w:kern w:val="0"/>
                <w:szCs w:val="21"/>
              </w:rPr>
            </w:pPr>
            <w:r>
              <w:rPr>
                <w:kern w:val="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0" w:type="auto"/>
            <w:tcMar>
              <w:top w:w="0" w:type="dxa"/>
              <w:left w:w="108" w:type="dxa"/>
              <w:bottom w:w="0" w:type="dxa"/>
              <w:right w:w="108" w:type="dxa"/>
            </w:tcMar>
            <w:vAlign w:val="center"/>
          </w:tcPr>
          <w:p>
            <w:pPr>
              <w:widowControl/>
              <w:adjustRightInd w:val="0"/>
              <w:snapToGrid w:val="0"/>
              <w:spacing w:line="440" w:lineRule="exact"/>
              <w:jc w:val="center"/>
            </w:pPr>
            <w:r>
              <w:t>给排水科学与工程</w:t>
            </w:r>
          </w:p>
        </w:tc>
        <w:tc>
          <w:tcPr>
            <w:tcW w:w="0" w:type="auto"/>
            <w:vMerge w:val="continue"/>
            <w:tcMar>
              <w:top w:w="0" w:type="dxa"/>
              <w:left w:w="108" w:type="dxa"/>
              <w:bottom w:w="0" w:type="dxa"/>
              <w:right w:w="108" w:type="dxa"/>
            </w:tcMar>
            <w:vAlign w:val="center"/>
          </w:tcPr>
          <w:p>
            <w:pPr>
              <w:adjustRightInd w:val="0"/>
              <w:snapToGrid w:val="0"/>
              <w:spacing w:line="440" w:lineRule="exact"/>
            </w:pPr>
          </w:p>
        </w:tc>
        <w:tc>
          <w:tcPr>
            <w:tcW w:w="0" w:type="auto"/>
            <w:tcMar>
              <w:top w:w="0" w:type="dxa"/>
              <w:left w:w="108" w:type="dxa"/>
              <w:bottom w:w="0" w:type="dxa"/>
              <w:right w:w="108" w:type="dxa"/>
            </w:tcMar>
            <w:vAlign w:val="center"/>
          </w:tcPr>
          <w:p>
            <w:pPr>
              <w:widowControl/>
              <w:adjustRightInd w:val="0"/>
              <w:snapToGrid w:val="0"/>
              <w:spacing w:line="440" w:lineRule="exact"/>
              <w:jc w:val="center"/>
              <w:rPr>
                <w:kern w:val="0"/>
                <w:szCs w:val="21"/>
              </w:rPr>
            </w:pPr>
            <w:r>
              <w:rPr>
                <w:kern w:val="0"/>
                <w:szCs w:val="21"/>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0" w:type="auto"/>
            <w:tcMar>
              <w:top w:w="0" w:type="dxa"/>
              <w:left w:w="108" w:type="dxa"/>
              <w:bottom w:w="0" w:type="dxa"/>
              <w:right w:w="108" w:type="dxa"/>
            </w:tcMar>
            <w:vAlign w:val="center"/>
          </w:tcPr>
          <w:p>
            <w:pPr>
              <w:widowControl/>
              <w:adjustRightInd w:val="0"/>
              <w:snapToGrid w:val="0"/>
              <w:spacing w:line="440" w:lineRule="exact"/>
              <w:jc w:val="center"/>
            </w:pPr>
            <w:r>
              <w:t>建筑环境与能源应用工程</w:t>
            </w:r>
          </w:p>
        </w:tc>
        <w:tc>
          <w:tcPr>
            <w:tcW w:w="0" w:type="auto"/>
            <w:vMerge w:val="continue"/>
            <w:tcMar>
              <w:top w:w="0" w:type="dxa"/>
              <w:left w:w="108" w:type="dxa"/>
              <w:bottom w:w="0" w:type="dxa"/>
              <w:right w:w="108" w:type="dxa"/>
            </w:tcMar>
            <w:vAlign w:val="center"/>
          </w:tcPr>
          <w:p>
            <w:pPr>
              <w:adjustRightInd w:val="0"/>
              <w:snapToGrid w:val="0"/>
              <w:spacing w:line="440" w:lineRule="exact"/>
            </w:pPr>
          </w:p>
        </w:tc>
        <w:tc>
          <w:tcPr>
            <w:tcW w:w="0" w:type="auto"/>
            <w:tcMar>
              <w:top w:w="0" w:type="dxa"/>
              <w:left w:w="108" w:type="dxa"/>
              <w:bottom w:w="0" w:type="dxa"/>
              <w:right w:w="108" w:type="dxa"/>
            </w:tcMar>
            <w:vAlign w:val="center"/>
          </w:tcPr>
          <w:p>
            <w:pPr>
              <w:widowControl/>
              <w:adjustRightInd w:val="0"/>
              <w:snapToGrid w:val="0"/>
              <w:spacing w:line="440" w:lineRule="exact"/>
              <w:jc w:val="center"/>
              <w:rPr>
                <w:rFonts w:hint="eastAsia" w:eastAsia="宋体"/>
                <w:kern w:val="0"/>
                <w:szCs w:val="21"/>
                <w:lang w:eastAsia="zh-CN"/>
              </w:rPr>
            </w:pPr>
            <w:r>
              <w:rPr>
                <w:rFonts w:hint="eastAsia"/>
                <w:kern w:val="0"/>
                <w:szCs w:val="21"/>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0" w:type="auto"/>
            <w:tcMar>
              <w:top w:w="0" w:type="dxa"/>
              <w:left w:w="108" w:type="dxa"/>
              <w:bottom w:w="0" w:type="dxa"/>
              <w:right w:w="108" w:type="dxa"/>
            </w:tcMar>
            <w:vAlign w:val="center"/>
          </w:tcPr>
          <w:p>
            <w:pPr>
              <w:widowControl/>
              <w:adjustRightInd w:val="0"/>
              <w:snapToGrid w:val="0"/>
              <w:spacing w:line="440" w:lineRule="exact"/>
              <w:jc w:val="center"/>
            </w:pPr>
            <w:r>
              <w:t>工程管理</w:t>
            </w:r>
          </w:p>
        </w:tc>
        <w:tc>
          <w:tcPr>
            <w:tcW w:w="0" w:type="auto"/>
            <w:vMerge w:val="continue"/>
            <w:tcMar>
              <w:top w:w="0" w:type="dxa"/>
              <w:left w:w="108" w:type="dxa"/>
              <w:bottom w:w="0" w:type="dxa"/>
              <w:right w:w="108" w:type="dxa"/>
            </w:tcMar>
            <w:vAlign w:val="center"/>
          </w:tcPr>
          <w:p>
            <w:pPr>
              <w:adjustRightInd w:val="0"/>
              <w:snapToGrid w:val="0"/>
              <w:spacing w:line="440" w:lineRule="exact"/>
            </w:pPr>
          </w:p>
        </w:tc>
        <w:tc>
          <w:tcPr>
            <w:tcW w:w="0" w:type="auto"/>
            <w:tcMar>
              <w:top w:w="0" w:type="dxa"/>
              <w:left w:w="108" w:type="dxa"/>
              <w:bottom w:w="0" w:type="dxa"/>
              <w:right w:w="108" w:type="dxa"/>
            </w:tcMar>
            <w:vAlign w:val="center"/>
          </w:tcPr>
          <w:p>
            <w:pPr>
              <w:widowControl/>
              <w:adjustRightInd w:val="0"/>
              <w:snapToGrid w:val="0"/>
              <w:spacing w:line="440" w:lineRule="exact"/>
              <w:jc w:val="center"/>
              <w:rPr>
                <w:kern w:val="0"/>
                <w:szCs w:val="21"/>
              </w:rPr>
            </w:pPr>
            <w:r>
              <w:rPr>
                <w:kern w:val="0"/>
                <w:szCs w:val="21"/>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0" w:type="auto"/>
            <w:tcMar>
              <w:top w:w="0" w:type="dxa"/>
              <w:left w:w="108" w:type="dxa"/>
              <w:bottom w:w="0" w:type="dxa"/>
              <w:right w:w="108" w:type="dxa"/>
            </w:tcMar>
            <w:vAlign w:val="center"/>
          </w:tcPr>
          <w:p>
            <w:pPr>
              <w:widowControl/>
              <w:adjustRightInd w:val="0"/>
              <w:snapToGrid w:val="0"/>
              <w:spacing w:line="440" w:lineRule="exact"/>
              <w:jc w:val="center"/>
            </w:pPr>
            <w:r>
              <w:t>城乡规划</w:t>
            </w:r>
          </w:p>
        </w:tc>
        <w:tc>
          <w:tcPr>
            <w:tcW w:w="0" w:type="auto"/>
            <w:vMerge w:val="continue"/>
            <w:tcMar>
              <w:top w:w="0" w:type="dxa"/>
              <w:left w:w="108" w:type="dxa"/>
              <w:bottom w:w="0" w:type="dxa"/>
              <w:right w:w="108" w:type="dxa"/>
            </w:tcMar>
            <w:vAlign w:val="center"/>
          </w:tcPr>
          <w:p>
            <w:pPr>
              <w:adjustRightInd w:val="0"/>
              <w:snapToGrid w:val="0"/>
              <w:spacing w:line="440" w:lineRule="exact"/>
            </w:pPr>
          </w:p>
        </w:tc>
        <w:tc>
          <w:tcPr>
            <w:tcW w:w="0" w:type="auto"/>
            <w:tcMar>
              <w:top w:w="0" w:type="dxa"/>
              <w:left w:w="108" w:type="dxa"/>
              <w:bottom w:w="0" w:type="dxa"/>
              <w:right w:w="108" w:type="dxa"/>
            </w:tcMar>
            <w:vAlign w:val="center"/>
          </w:tcPr>
          <w:p>
            <w:pPr>
              <w:widowControl/>
              <w:adjustRightInd w:val="0"/>
              <w:snapToGrid w:val="0"/>
              <w:spacing w:line="440" w:lineRule="exact"/>
              <w:jc w:val="center"/>
              <w:rPr>
                <w:kern w:val="0"/>
                <w:szCs w:val="21"/>
              </w:rPr>
            </w:pPr>
            <w:r>
              <w:rPr>
                <w:kern w:val="0"/>
                <w:szCs w:val="21"/>
              </w:rPr>
              <w:t>4</w:t>
            </w:r>
          </w:p>
        </w:tc>
      </w:tr>
    </w:tbl>
    <w:p>
      <w:pPr>
        <w:widowControl/>
        <w:shd w:val="clear" w:color="auto" w:fill="FFFFFF"/>
        <w:spacing w:after="100" w:line="440" w:lineRule="exact"/>
        <w:jc w:val="left"/>
        <w:rPr>
          <w:b/>
          <w:bCs/>
          <w:kern w:val="0"/>
          <w:szCs w:val="21"/>
        </w:rPr>
      </w:pPr>
      <w:r>
        <w:rPr>
          <w:b/>
          <w:bCs/>
          <w:kern w:val="0"/>
          <w:szCs w:val="21"/>
        </w:rPr>
        <w:t>说明：土木类有4个专业：土木工程、给排水科学与工程、工程管理、建筑环境与能源应用工程；土木工程专业有两个方向：</w:t>
      </w:r>
      <w:bookmarkStart w:id="1" w:name="_GoBack"/>
      <w:bookmarkEnd w:id="1"/>
      <w:r>
        <w:rPr>
          <w:b/>
          <w:bCs/>
          <w:kern w:val="0"/>
          <w:szCs w:val="21"/>
        </w:rPr>
        <w:t>建筑工程和道路桥梁</w:t>
      </w:r>
      <w:r>
        <w:rPr>
          <w:rFonts w:hint="eastAsia"/>
          <w:b/>
          <w:bCs/>
          <w:kern w:val="0"/>
          <w:szCs w:val="21"/>
        </w:rPr>
        <w:t>；</w:t>
      </w:r>
      <w:r>
        <w:rPr>
          <w:b/>
          <w:bCs/>
          <w:kern w:val="0"/>
          <w:szCs w:val="21"/>
        </w:rPr>
        <w:t>工程管理</w:t>
      </w:r>
      <w:r>
        <w:rPr>
          <w:rFonts w:hint="eastAsia"/>
          <w:b/>
          <w:bCs/>
          <w:kern w:val="0"/>
          <w:szCs w:val="21"/>
        </w:rPr>
        <w:t>专业</w:t>
      </w:r>
      <w:r>
        <w:rPr>
          <w:rFonts w:hint="eastAsia"/>
          <w:b/>
          <w:bCs/>
          <w:kern w:val="0"/>
          <w:szCs w:val="21"/>
          <w:lang w:val="en-US" w:eastAsia="zh-CN"/>
        </w:rPr>
        <w:t>2021级新</w:t>
      </w:r>
      <w:r>
        <w:rPr>
          <w:rFonts w:hint="eastAsia"/>
          <w:b/>
          <w:bCs/>
          <w:kern w:val="0"/>
          <w:szCs w:val="21"/>
        </w:rPr>
        <w:t>设智能建造方向</w:t>
      </w:r>
      <w:r>
        <w:rPr>
          <w:b/>
          <w:bCs/>
          <w:kern w:val="0"/>
          <w:szCs w:val="21"/>
        </w:rPr>
        <w:t>。</w:t>
      </w:r>
    </w:p>
    <w:p>
      <w:pPr>
        <w:spacing w:before="156" w:beforeLines="50" w:after="156" w:afterLines="50" w:line="440" w:lineRule="exact"/>
        <w:rPr>
          <w:sz w:val="20"/>
          <w:szCs w:val="22"/>
        </w:rPr>
      </w:pPr>
      <w:r>
        <w:rPr>
          <w:rFonts w:eastAsia="仿宋"/>
          <w:b/>
          <w:bCs/>
          <w:color w:val="000000"/>
          <w:kern w:val="0"/>
          <w:sz w:val="24"/>
          <w:shd w:val="clear" w:color="auto" w:fill="FFFFFF"/>
          <w:lang w:bidi="ar"/>
        </w:rPr>
        <w:t xml:space="preserve"> </w:t>
      </w:r>
      <w:r>
        <w:rPr>
          <w:b/>
          <w:bCs/>
          <w:sz w:val="24"/>
        </w:rPr>
        <w:t>三、接收学生条件</w:t>
      </w:r>
    </w:p>
    <w:p>
      <w:pPr>
        <w:spacing w:line="440" w:lineRule="exact"/>
        <w:ind w:firstLine="480" w:firstLineChars="200"/>
        <w:rPr>
          <w:bCs/>
          <w:sz w:val="24"/>
        </w:rPr>
      </w:pPr>
      <w:r>
        <w:rPr>
          <w:bCs/>
          <w:sz w:val="24"/>
        </w:rPr>
        <w:t>1. 2020级、2021级未转过专业的学生，满足下列条件之一者：</w:t>
      </w:r>
    </w:p>
    <w:p>
      <w:pPr>
        <w:spacing w:line="440" w:lineRule="exact"/>
        <w:ind w:firstLine="480" w:firstLineChars="200"/>
        <w:rPr>
          <w:bCs/>
          <w:sz w:val="24"/>
        </w:rPr>
      </w:pPr>
      <w:r>
        <w:rPr>
          <w:bCs/>
          <w:sz w:val="24"/>
        </w:rPr>
        <w:t>条件1：学生有拟转入专业的专长或兴趣，转专业后更能发挥专长和兴趣的；</w:t>
      </w:r>
    </w:p>
    <w:p>
      <w:pPr>
        <w:spacing w:line="440" w:lineRule="exact"/>
        <w:ind w:firstLine="480" w:firstLineChars="200"/>
        <w:rPr>
          <w:bCs/>
          <w:sz w:val="24"/>
        </w:rPr>
      </w:pPr>
      <w:r>
        <w:rPr>
          <w:bCs/>
          <w:sz w:val="24"/>
        </w:rPr>
        <w:t>条件2：学生因某种疾病或生理缺陷（隐瞒既往病史者除外），经校医院检查证明确实不能在原专业学习，但尚能在其它专业学习的；</w:t>
      </w:r>
    </w:p>
    <w:p>
      <w:pPr>
        <w:spacing w:line="440" w:lineRule="exact"/>
        <w:ind w:firstLine="480" w:firstLineChars="200"/>
        <w:rPr>
          <w:bCs/>
          <w:sz w:val="24"/>
        </w:rPr>
      </w:pPr>
      <w:r>
        <w:rPr>
          <w:bCs/>
          <w:sz w:val="24"/>
        </w:rPr>
        <w:t>条件3：学生确有某种特殊困难，在原专业无法继续学习的。</w:t>
      </w:r>
    </w:p>
    <w:p>
      <w:pPr>
        <w:spacing w:line="440" w:lineRule="exact"/>
        <w:ind w:firstLine="480" w:firstLineChars="200"/>
        <w:rPr>
          <w:bCs/>
          <w:sz w:val="24"/>
        </w:rPr>
      </w:pPr>
      <w:r>
        <w:rPr>
          <w:bCs/>
          <w:sz w:val="24"/>
        </w:rPr>
        <w:t>2. 2020级以前的学生和已有过转专业记录的学生，只有满足条件2或条件3，才允许申请转专业。</w:t>
      </w:r>
    </w:p>
    <w:p>
      <w:pPr>
        <w:spacing w:line="440" w:lineRule="exact"/>
        <w:ind w:firstLine="480" w:firstLineChars="200"/>
        <w:rPr>
          <w:bCs/>
          <w:sz w:val="24"/>
        </w:rPr>
      </w:pPr>
      <w:r>
        <w:rPr>
          <w:bCs/>
          <w:sz w:val="24"/>
        </w:rPr>
        <w:t>3. 以条件2或条件3申请转专业的学生，必须提供相关证明材料。</w:t>
      </w:r>
    </w:p>
    <w:p>
      <w:pPr>
        <w:spacing w:line="440" w:lineRule="exact"/>
        <w:ind w:firstLine="480" w:firstLineChars="200"/>
        <w:rPr>
          <w:rFonts w:hint="eastAsia"/>
          <w:bCs/>
          <w:sz w:val="24"/>
          <w:lang w:val="en-US" w:eastAsia="zh-CN"/>
        </w:rPr>
      </w:pPr>
      <w:r>
        <w:rPr>
          <w:rFonts w:hint="eastAsia"/>
          <w:bCs/>
          <w:sz w:val="24"/>
          <w:lang w:val="en-US" w:eastAsia="zh-CN"/>
        </w:rPr>
        <w:t>4</w:t>
      </w:r>
      <w:r>
        <w:rPr>
          <w:bCs/>
          <w:sz w:val="24"/>
        </w:rPr>
        <w:t xml:space="preserve">. </w:t>
      </w:r>
      <w:r>
        <w:rPr>
          <w:rFonts w:hint="eastAsia"/>
          <w:bCs/>
          <w:sz w:val="24"/>
          <w:lang w:val="en-US" w:eastAsia="zh-CN"/>
        </w:rPr>
        <w:t>申请转入我院相关专业高考选考科目要求如下：</w:t>
      </w:r>
    </w:p>
    <w:tbl>
      <w:tblPr>
        <w:tblStyle w:val="3"/>
        <w:tblW w:w="917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60"/>
        <w:gridCol w:w="2664"/>
        <w:gridCol w:w="1199"/>
        <w:gridCol w:w="1530"/>
        <w:gridCol w:w="1230"/>
        <w:gridCol w:w="159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专业类</w:t>
            </w:r>
          </w:p>
        </w:tc>
        <w:tc>
          <w:tcPr>
            <w:tcW w:w="26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包含专业</w:t>
            </w:r>
          </w:p>
        </w:tc>
        <w:tc>
          <w:tcPr>
            <w:tcW w:w="11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非综改省份科类</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“3+3”模式选考科目</w:t>
            </w:r>
          </w:p>
        </w:tc>
        <w:tc>
          <w:tcPr>
            <w:tcW w:w="282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“3+1+2”模式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val="0"/>
              <w:snapToGrid w:val="0"/>
              <w:spacing w:line="440" w:lineRule="exact"/>
              <w:jc w:val="center"/>
              <w:rPr>
                <w:rFonts w:hint="eastAsia"/>
              </w:rPr>
            </w:pPr>
            <w:r>
              <w:rPr>
                <w:rFonts w:hint="eastAsia"/>
                <w:lang w:val="en-US" w:eastAsia="zh-CN"/>
              </w:rPr>
              <w:t>土木类</w:t>
            </w:r>
          </w:p>
        </w:tc>
        <w:tc>
          <w:tcPr>
            <w:tcW w:w="26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val="0"/>
              <w:snapToGrid w:val="0"/>
              <w:spacing w:line="440" w:lineRule="exact"/>
              <w:jc w:val="center"/>
              <w:rPr>
                <w:rFonts w:hint="eastAsia"/>
              </w:rPr>
            </w:pPr>
            <w:r>
              <w:rPr>
                <w:rFonts w:hint="eastAsia"/>
                <w:lang w:val="en-US" w:eastAsia="zh-CN"/>
              </w:rPr>
              <w:t>土木工程</w:t>
            </w:r>
          </w:p>
        </w:tc>
        <w:tc>
          <w:tcPr>
            <w:tcW w:w="1199"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val="0"/>
              <w:snapToGrid w:val="0"/>
              <w:spacing w:line="440" w:lineRule="exact"/>
              <w:jc w:val="center"/>
              <w:rPr>
                <w:rFonts w:hint="eastAsia"/>
              </w:rPr>
            </w:pPr>
            <w:r>
              <w:rPr>
                <w:rFonts w:hint="eastAsia"/>
                <w:lang w:val="en-US" w:eastAsia="zh-CN"/>
              </w:rPr>
              <w:t>理工</w:t>
            </w:r>
          </w:p>
        </w:tc>
        <w:tc>
          <w:tcPr>
            <w:tcW w:w="153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val="0"/>
              <w:snapToGrid w:val="0"/>
              <w:spacing w:line="440" w:lineRule="exact"/>
              <w:jc w:val="center"/>
              <w:rPr>
                <w:rFonts w:hint="eastAsia"/>
              </w:rPr>
            </w:pPr>
            <w:r>
              <w:rPr>
                <w:rFonts w:hint="eastAsia"/>
                <w:lang w:val="en-US" w:eastAsia="zh-CN"/>
              </w:rPr>
              <w:t>物理</w:t>
            </w:r>
          </w:p>
        </w:tc>
        <w:tc>
          <w:tcPr>
            <w:tcW w:w="123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val="0"/>
              <w:snapToGrid w:val="0"/>
              <w:spacing w:line="440" w:lineRule="exact"/>
              <w:jc w:val="center"/>
              <w:rPr>
                <w:rFonts w:hint="eastAsia"/>
              </w:rPr>
            </w:pPr>
            <w:r>
              <w:rPr>
                <w:rFonts w:hint="eastAsia"/>
                <w:lang w:val="en-US" w:eastAsia="zh-CN"/>
              </w:rPr>
              <w:t>仅物理</w:t>
            </w:r>
          </w:p>
        </w:tc>
        <w:tc>
          <w:tcPr>
            <w:tcW w:w="159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val="0"/>
              <w:snapToGrid w:val="0"/>
              <w:spacing w:line="440" w:lineRule="exact"/>
              <w:jc w:val="center"/>
              <w:rPr>
                <w:rFonts w:hint="eastAsia"/>
              </w:rPr>
            </w:pPr>
            <w:r>
              <w:rPr>
                <w:rFonts w:hint="eastAsia"/>
                <w:lang w:val="en-US" w:eastAsia="zh-CN"/>
              </w:rPr>
              <w:t>不提科目要求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val="0"/>
              <w:snapToGrid w:val="0"/>
              <w:spacing w:line="440" w:lineRule="exact"/>
              <w:jc w:val="center"/>
              <w:rPr>
                <w:rFonts w:hint="eastAsia"/>
              </w:rPr>
            </w:pPr>
          </w:p>
        </w:tc>
        <w:tc>
          <w:tcPr>
            <w:tcW w:w="26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val="0"/>
              <w:snapToGrid w:val="0"/>
              <w:spacing w:line="440" w:lineRule="exact"/>
              <w:jc w:val="center"/>
              <w:rPr>
                <w:rFonts w:hint="eastAsia"/>
              </w:rPr>
            </w:pPr>
            <w:r>
              <w:rPr>
                <w:rFonts w:hint="eastAsia"/>
                <w:lang w:val="en-US" w:eastAsia="zh-CN"/>
              </w:rPr>
              <w:t>建筑环境与能源应用工程</w:t>
            </w:r>
          </w:p>
        </w:tc>
        <w:tc>
          <w:tcPr>
            <w:tcW w:w="119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val="0"/>
              <w:snapToGrid w:val="0"/>
              <w:spacing w:line="440" w:lineRule="exact"/>
              <w:jc w:val="center"/>
              <w:rPr>
                <w:rFonts w:hint="eastAsia"/>
              </w:rPr>
            </w:pPr>
          </w:p>
        </w:tc>
        <w:tc>
          <w:tcPr>
            <w:tcW w:w="153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val="0"/>
              <w:snapToGrid w:val="0"/>
              <w:spacing w:line="440" w:lineRule="exact"/>
              <w:jc w:val="center"/>
              <w:rPr>
                <w:rFonts w:hint="eastAsia"/>
              </w:rPr>
            </w:pPr>
          </w:p>
        </w:tc>
        <w:tc>
          <w:tcPr>
            <w:tcW w:w="123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val="0"/>
              <w:snapToGrid w:val="0"/>
              <w:spacing w:line="440" w:lineRule="exact"/>
              <w:jc w:val="center"/>
              <w:rPr>
                <w:rFonts w:hint="eastAsia"/>
              </w:rPr>
            </w:pPr>
          </w:p>
        </w:tc>
        <w:tc>
          <w:tcPr>
            <w:tcW w:w="159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val="0"/>
              <w:snapToGrid w:val="0"/>
              <w:spacing w:line="440" w:lineRule="exact"/>
              <w:jc w:val="center"/>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val="0"/>
              <w:snapToGrid w:val="0"/>
              <w:spacing w:line="440" w:lineRule="exact"/>
              <w:jc w:val="center"/>
              <w:rPr>
                <w:rFonts w:hint="eastAsia"/>
              </w:rPr>
            </w:pPr>
          </w:p>
        </w:tc>
        <w:tc>
          <w:tcPr>
            <w:tcW w:w="26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val="0"/>
              <w:snapToGrid w:val="0"/>
              <w:spacing w:line="440" w:lineRule="exact"/>
              <w:jc w:val="center"/>
              <w:rPr>
                <w:rFonts w:hint="eastAsia"/>
              </w:rPr>
            </w:pPr>
            <w:r>
              <w:rPr>
                <w:rFonts w:hint="eastAsia"/>
                <w:lang w:val="en-US" w:eastAsia="zh-CN"/>
              </w:rPr>
              <w:t>给排水科学与工程</w:t>
            </w:r>
          </w:p>
        </w:tc>
        <w:tc>
          <w:tcPr>
            <w:tcW w:w="119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val="0"/>
              <w:snapToGrid w:val="0"/>
              <w:spacing w:line="440" w:lineRule="exact"/>
              <w:jc w:val="center"/>
              <w:rPr>
                <w:rFonts w:hint="eastAsia"/>
              </w:rPr>
            </w:pPr>
          </w:p>
        </w:tc>
        <w:tc>
          <w:tcPr>
            <w:tcW w:w="153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val="0"/>
              <w:snapToGrid w:val="0"/>
              <w:spacing w:line="440" w:lineRule="exact"/>
              <w:jc w:val="center"/>
              <w:rPr>
                <w:rFonts w:hint="eastAsia"/>
              </w:rPr>
            </w:pPr>
          </w:p>
        </w:tc>
        <w:tc>
          <w:tcPr>
            <w:tcW w:w="123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val="0"/>
              <w:snapToGrid w:val="0"/>
              <w:spacing w:line="440" w:lineRule="exact"/>
              <w:jc w:val="center"/>
              <w:rPr>
                <w:rFonts w:hint="eastAsia"/>
              </w:rPr>
            </w:pPr>
          </w:p>
        </w:tc>
        <w:tc>
          <w:tcPr>
            <w:tcW w:w="159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val="0"/>
              <w:snapToGrid w:val="0"/>
              <w:spacing w:line="440" w:lineRule="exact"/>
              <w:jc w:val="center"/>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val="0"/>
              <w:snapToGrid w:val="0"/>
              <w:spacing w:line="440" w:lineRule="exact"/>
              <w:jc w:val="center"/>
              <w:rPr>
                <w:rFonts w:hint="eastAsia"/>
              </w:rPr>
            </w:pPr>
          </w:p>
        </w:tc>
        <w:tc>
          <w:tcPr>
            <w:tcW w:w="26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val="0"/>
              <w:snapToGrid w:val="0"/>
              <w:spacing w:line="440" w:lineRule="exact"/>
              <w:jc w:val="center"/>
              <w:rPr>
                <w:rFonts w:hint="eastAsia"/>
              </w:rPr>
            </w:pPr>
            <w:r>
              <w:rPr>
                <w:rFonts w:hint="eastAsia"/>
                <w:lang w:val="en-US" w:eastAsia="zh-CN"/>
              </w:rPr>
              <w:t>工程管理</w:t>
            </w:r>
          </w:p>
        </w:tc>
        <w:tc>
          <w:tcPr>
            <w:tcW w:w="119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val="0"/>
              <w:snapToGrid w:val="0"/>
              <w:spacing w:line="440" w:lineRule="exact"/>
              <w:jc w:val="center"/>
              <w:rPr>
                <w:rFonts w:hint="eastAsia"/>
              </w:rPr>
            </w:pPr>
          </w:p>
        </w:tc>
        <w:tc>
          <w:tcPr>
            <w:tcW w:w="153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val="0"/>
              <w:snapToGrid w:val="0"/>
              <w:spacing w:line="440" w:lineRule="exact"/>
              <w:jc w:val="center"/>
              <w:rPr>
                <w:rFonts w:hint="eastAsia"/>
              </w:rPr>
            </w:pPr>
          </w:p>
        </w:tc>
        <w:tc>
          <w:tcPr>
            <w:tcW w:w="123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val="0"/>
              <w:snapToGrid w:val="0"/>
              <w:spacing w:line="440" w:lineRule="exact"/>
              <w:jc w:val="center"/>
              <w:rPr>
                <w:rFonts w:hint="eastAsia"/>
              </w:rPr>
            </w:pPr>
          </w:p>
        </w:tc>
        <w:tc>
          <w:tcPr>
            <w:tcW w:w="159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val="0"/>
              <w:snapToGrid w:val="0"/>
              <w:spacing w:line="440" w:lineRule="exact"/>
              <w:jc w:val="center"/>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val="0"/>
              <w:snapToGrid w:val="0"/>
              <w:spacing w:line="440" w:lineRule="exact"/>
              <w:jc w:val="center"/>
              <w:rPr>
                <w:rFonts w:hint="eastAsia"/>
              </w:rPr>
            </w:pPr>
            <w:r>
              <w:rPr>
                <w:rFonts w:hint="eastAsia"/>
                <w:lang w:val="en-US" w:eastAsia="zh-CN"/>
              </w:rPr>
              <w:t>建筑类</w:t>
            </w:r>
          </w:p>
        </w:tc>
        <w:tc>
          <w:tcPr>
            <w:tcW w:w="26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val="0"/>
              <w:snapToGrid w:val="0"/>
              <w:spacing w:line="440" w:lineRule="exact"/>
              <w:jc w:val="center"/>
              <w:rPr>
                <w:rFonts w:hint="eastAsia"/>
              </w:rPr>
            </w:pPr>
            <w:r>
              <w:rPr>
                <w:rFonts w:hint="eastAsia"/>
                <w:lang w:val="en-US" w:eastAsia="zh-CN"/>
              </w:rPr>
              <w:t>城乡规划</w:t>
            </w:r>
          </w:p>
        </w:tc>
        <w:tc>
          <w:tcPr>
            <w:tcW w:w="11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val="0"/>
              <w:snapToGrid w:val="0"/>
              <w:spacing w:line="440" w:lineRule="exact"/>
              <w:jc w:val="center"/>
              <w:rPr>
                <w:rFonts w:hint="eastAsia"/>
              </w:rPr>
            </w:pPr>
            <w:r>
              <w:rPr>
                <w:rFonts w:hint="eastAsia"/>
                <w:lang w:val="en-US" w:eastAsia="zh-CN"/>
              </w:rPr>
              <w:t>理工</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val="0"/>
              <w:snapToGrid w:val="0"/>
              <w:spacing w:line="440" w:lineRule="exact"/>
              <w:jc w:val="center"/>
              <w:rPr>
                <w:rFonts w:hint="eastAsia"/>
              </w:rPr>
            </w:pPr>
            <w:r>
              <w:rPr>
                <w:rFonts w:hint="eastAsia"/>
                <w:lang w:val="en-US" w:eastAsia="zh-CN"/>
              </w:rPr>
              <w:t>物理或历史或地理</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val="0"/>
              <w:snapToGrid w:val="0"/>
              <w:spacing w:line="440" w:lineRule="exact"/>
              <w:jc w:val="center"/>
              <w:rPr>
                <w:rFonts w:hint="eastAsia"/>
              </w:rPr>
            </w:pPr>
            <w:r>
              <w:rPr>
                <w:rFonts w:hint="eastAsia"/>
                <w:lang w:val="en-US" w:eastAsia="zh-CN"/>
              </w:rPr>
              <w:t>物理或历史均可</w:t>
            </w:r>
          </w:p>
        </w:tc>
        <w:tc>
          <w:tcPr>
            <w:tcW w:w="15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val="0"/>
              <w:snapToGrid w:val="0"/>
              <w:spacing w:line="440" w:lineRule="exact"/>
              <w:jc w:val="center"/>
              <w:rPr>
                <w:rFonts w:hint="eastAsia"/>
              </w:rPr>
            </w:pPr>
            <w:r>
              <w:rPr>
                <w:rFonts w:hint="eastAsia"/>
                <w:lang w:val="en-US" w:eastAsia="zh-CN"/>
              </w:rPr>
              <w:t>不提科目要求</w:t>
            </w:r>
          </w:p>
        </w:tc>
      </w:tr>
    </w:tbl>
    <w:p>
      <w:pPr>
        <w:spacing w:line="440" w:lineRule="exact"/>
        <w:ind w:firstLine="480" w:firstLineChars="200"/>
        <w:jc w:val="both"/>
        <w:rPr>
          <w:rFonts w:hint="eastAsia"/>
          <w:bCs/>
          <w:sz w:val="24"/>
          <w:lang w:val="en-US" w:eastAsia="zh-CN"/>
        </w:rPr>
      </w:pPr>
    </w:p>
    <w:p>
      <w:pPr>
        <w:widowControl/>
        <w:numPr>
          <w:ilvl w:val="0"/>
          <w:numId w:val="1"/>
        </w:numPr>
        <w:shd w:val="clear" w:color="auto" w:fill="FFFFFF"/>
        <w:spacing w:line="360" w:lineRule="auto"/>
        <w:ind w:firstLine="408"/>
        <w:jc w:val="left"/>
        <w:rPr>
          <w:rFonts w:hint="eastAsia" w:eastAsia="宋体"/>
          <w:bCs/>
          <w:sz w:val="24"/>
          <w:lang w:val="en-US" w:eastAsia="zh-CN"/>
        </w:rPr>
      </w:pPr>
      <w:r>
        <w:rPr>
          <w:rFonts w:hint="eastAsia"/>
          <w:bCs/>
          <w:sz w:val="24"/>
          <w:lang w:val="en-US" w:eastAsia="zh-CN"/>
        </w:rPr>
        <w:t>申请转入我院学生需</w:t>
      </w:r>
      <w:r>
        <w:rPr>
          <w:rFonts w:hAnsi="宋体"/>
          <w:kern w:val="0"/>
          <w:sz w:val="24"/>
        </w:rPr>
        <w:t>已修必修课程平均学分绩点在</w:t>
      </w:r>
      <w:r>
        <w:rPr>
          <w:rFonts w:hint="eastAsia"/>
          <w:kern w:val="0"/>
          <w:sz w:val="24"/>
          <w:lang w:val="en-US" w:eastAsia="zh-CN"/>
        </w:rPr>
        <w:t>3.0</w:t>
      </w:r>
      <w:r>
        <w:rPr>
          <w:rFonts w:hAnsi="宋体"/>
          <w:kern w:val="0"/>
          <w:sz w:val="24"/>
        </w:rPr>
        <w:t>及以上（</w:t>
      </w:r>
      <w:r>
        <w:rPr>
          <w:rFonts w:hint="eastAsia"/>
          <w:kern w:val="0"/>
          <w:sz w:val="24"/>
          <w:lang w:val="en-US" w:eastAsia="zh-CN"/>
        </w:rPr>
        <w:t>3.0</w:t>
      </w:r>
      <w:r>
        <w:rPr>
          <w:kern w:val="0"/>
          <w:sz w:val="24"/>
        </w:rPr>
        <w:t>=</w:t>
      </w:r>
      <w:r>
        <w:rPr>
          <w:rFonts w:hint="eastAsia"/>
          <w:kern w:val="0"/>
          <w:sz w:val="24"/>
          <w:lang w:val="en-US" w:eastAsia="zh-CN"/>
        </w:rPr>
        <w:t>80</w:t>
      </w:r>
      <w:r>
        <w:rPr>
          <w:rFonts w:hAnsi="宋体"/>
          <w:kern w:val="0"/>
          <w:sz w:val="24"/>
        </w:rPr>
        <w:t>分）</w:t>
      </w:r>
      <w:r>
        <w:rPr>
          <w:bCs/>
          <w:color w:val="000000"/>
          <w:sz w:val="24"/>
        </w:rPr>
        <w:t>且无不及格课程</w:t>
      </w:r>
      <w:r>
        <w:rPr>
          <w:rFonts w:hint="eastAsia"/>
          <w:bCs/>
          <w:color w:val="000000"/>
          <w:sz w:val="24"/>
          <w:lang w:eastAsia="zh-CN"/>
        </w:rPr>
        <w:t>（</w:t>
      </w:r>
      <w:r>
        <w:rPr>
          <w:bCs/>
          <w:color w:val="000000"/>
          <w:sz w:val="24"/>
        </w:rPr>
        <w:t>学生第一次正常考试不及格，但通过补考或重修已经及格的课程，视作该门课程及格</w:t>
      </w:r>
      <w:r>
        <w:rPr>
          <w:rFonts w:hint="eastAsia"/>
          <w:bCs/>
          <w:color w:val="000000"/>
          <w:sz w:val="24"/>
          <w:lang w:eastAsia="zh-CN"/>
        </w:rPr>
        <w:t>）。</w:t>
      </w:r>
    </w:p>
    <w:p>
      <w:pPr>
        <w:spacing w:before="156" w:beforeLines="50" w:after="156" w:afterLines="50" w:line="440" w:lineRule="exact"/>
        <w:rPr>
          <w:b/>
          <w:bCs/>
          <w:sz w:val="24"/>
        </w:rPr>
      </w:pPr>
      <w:r>
        <w:rPr>
          <w:b/>
          <w:bCs/>
          <w:sz w:val="24"/>
        </w:rPr>
        <w:t>四、考核办法</w:t>
      </w:r>
    </w:p>
    <w:p>
      <w:pPr>
        <w:snapToGrid w:val="0"/>
        <w:spacing w:line="440" w:lineRule="exact"/>
        <w:ind w:firstLine="480" w:firstLineChars="200"/>
        <w:rPr>
          <w:bCs/>
          <w:color w:val="000000"/>
          <w:sz w:val="24"/>
        </w:rPr>
      </w:pPr>
      <w:r>
        <w:rPr>
          <w:rFonts w:hint="eastAsia"/>
          <w:bCs/>
          <w:color w:val="000000"/>
          <w:sz w:val="24"/>
        </w:rPr>
        <w:t>1</w:t>
      </w:r>
      <w:r>
        <w:rPr>
          <w:bCs/>
          <w:color w:val="000000"/>
          <w:sz w:val="24"/>
        </w:rPr>
        <w:t xml:space="preserve">. 对于按条件1申请转专业的学生，以学生的综合评价成绩的排名作为录取的依据，按照以下方法执行； </w:t>
      </w:r>
    </w:p>
    <w:p>
      <w:pPr>
        <w:snapToGrid w:val="0"/>
        <w:spacing w:line="440" w:lineRule="exact"/>
        <w:ind w:firstLine="480" w:firstLineChars="200"/>
        <w:rPr>
          <w:bCs/>
          <w:color w:val="000000"/>
          <w:sz w:val="24"/>
        </w:rPr>
      </w:pPr>
      <w:r>
        <w:rPr>
          <w:bCs/>
          <w:color w:val="000000"/>
          <w:sz w:val="24"/>
        </w:rPr>
        <w:t>考核办法：申请转入学生按综合成绩排名择优录取</w:t>
      </w:r>
    </w:p>
    <w:p>
      <w:pPr>
        <w:snapToGrid w:val="0"/>
        <w:spacing w:line="440" w:lineRule="exact"/>
        <w:ind w:firstLine="480" w:firstLineChars="200"/>
        <w:rPr>
          <w:bCs/>
          <w:color w:val="000000"/>
          <w:sz w:val="24"/>
        </w:rPr>
      </w:pPr>
      <w:r>
        <w:rPr>
          <w:bCs/>
          <w:color w:val="000000"/>
          <w:sz w:val="24"/>
        </w:rPr>
        <w:t>综合成绩=已修必修课程平均学分绩（换算成百分制）</w:t>
      </w:r>
      <w:r>
        <w:rPr>
          <w:rFonts w:hint="eastAsia"/>
          <w:bCs/>
          <w:color w:val="000000"/>
          <w:sz w:val="24"/>
        </w:rPr>
        <w:t>×</w:t>
      </w:r>
      <w:r>
        <w:rPr>
          <w:bCs/>
          <w:color w:val="000000"/>
          <w:sz w:val="24"/>
        </w:rPr>
        <w:t>0.7+(英语成绩+高数成绩)÷2</w:t>
      </w:r>
      <w:r>
        <w:rPr>
          <w:rFonts w:hint="eastAsia"/>
          <w:bCs/>
          <w:color w:val="000000"/>
          <w:sz w:val="24"/>
        </w:rPr>
        <w:t>×</w:t>
      </w:r>
      <w:r>
        <w:rPr>
          <w:bCs/>
          <w:color w:val="000000"/>
          <w:sz w:val="24"/>
        </w:rPr>
        <w:t>0.3</w:t>
      </w:r>
    </w:p>
    <w:p>
      <w:pPr>
        <w:snapToGrid w:val="0"/>
        <w:spacing w:line="440" w:lineRule="exact"/>
        <w:ind w:firstLine="482" w:firstLineChars="200"/>
        <w:rPr>
          <w:b/>
          <w:color w:val="000000"/>
          <w:sz w:val="24"/>
        </w:rPr>
      </w:pPr>
      <w:r>
        <w:rPr>
          <w:b/>
          <w:color w:val="000000"/>
          <w:sz w:val="24"/>
        </w:rPr>
        <w:t>录取原则：学院按学生综合成绩排名，择优录取，第一志愿优先于第二志愿</w:t>
      </w:r>
    </w:p>
    <w:p>
      <w:pPr>
        <w:snapToGrid w:val="0"/>
        <w:spacing w:line="440" w:lineRule="exact"/>
        <w:ind w:firstLine="480" w:firstLineChars="200"/>
        <w:rPr>
          <w:rFonts w:hint="eastAsia"/>
          <w:bCs/>
          <w:color w:val="000000"/>
          <w:sz w:val="24"/>
        </w:rPr>
      </w:pPr>
      <w:r>
        <w:rPr>
          <w:rFonts w:hint="eastAsia"/>
          <w:bCs/>
          <w:color w:val="000000"/>
          <w:sz w:val="24"/>
        </w:rPr>
        <w:t>2</w:t>
      </w:r>
      <w:r>
        <w:rPr>
          <w:bCs/>
          <w:color w:val="000000"/>
          <w:sz w:val="24"/>
        </w:rPr>
        <w:t>. 对于按条件2、3申请转专业的学生，在综合考虑学生已修课程成绩和申请转专业原因（疾病或者特殊困难）的基础上，可不受学生综合成绩排名的影响，以学生申请转专业的原因作为录取的主要依据。</w:t>
      </w:r>
    </w:p>
    <w:p>
      <w:pPr>
        <w:spacing w:before="156" w:beforeLines="50" w:after="156" w:afterLines="50" w:line="440" w:lineRule="exact"/>
        <w:rPr>
          <w:bCs/>
          <w:color w:val="000000"/>
          <w:sz w:val="24"/>
        </w:rPr>
      </w:pPr>
      <w:r>
        <w:rPr>
          <w:b/>
          <w:bCs/>
          <w:sz w:val="24"/>
        </w:rPr>
        <w:t>五、工作程序及时间安排</w:t>
      </w:r>
    </w:p>
    <w:p>
      <w:pPr>
        <w:snapToGrid w:val="0"/>
        <w:spacing w:line="440" w:lineRule="exact"/>
        <w:ind w:firstLine="480" w:firstLineChars="200"/>
        <w:rPr>
          <w:bCs/>
          <w:color w:val="000000"/>
          <w:sz w:val="24"/>
        </w:rPr>
      </w:pPr>
      <w:r>
        <w:rPr>
          <w:bCs/>
          <w:color w:val="000000"/>
          <w:sz w:val="24"/>
        </w:rPr>
        <w:t>1. 2022年4月21日-4月27日，有转专业意向的学生在学分制综合教务管理信息系统中提交转专业申请。</w:t>
      </w:r>
    </w:p>
    <w:p>
      <w:pPr>
        <w:snapToGrid w:val="0"/>
        <w:spacing w:line="440" w:lineRule="exact"/>
        <w:ind w:firstLine="480" w:firstLineChars="200"/>
        <w:rPr>
          <w:bCs/>
          <w:color w:val="000000"/>
          <w:sz w:val="24"/>
        </w:rPr>
      </w:pPr>
      <w:r>
        <w:rPr>
          <w:bCs/>
          <w:color w:val="000000"/>
          <w:sz w:val="24"/>
        </w:rPr>
        <w:t>2. 2022年4月22日-4月28日，</w:t>
      </w:r>
      <w:bookmarkStart w:id="0" w:name="OLE_LINK2"/>
      <w:r>
        <w:rPr>
          <w:bCs/>
          <w:color w:val="000000"/>
          <w:sz w:val="24"/>
        </w:rPr>
        <w:t>学院对转出学生的申请材料进行审查，审查合格者予以转出确认</w:t>
      </w:r>
      <w:bookmarkEnd w:id="0"/>
    </w:p>
    <w:p>
      <w:pPr>
        <w:snapToGrid w:val="0"/>
        <w:spacing w:line="440" w:lineRule="exact"/>
        <w:ind w:firstLine="480" w:firstLineChars="200"/>
        <w:rPr>
          <w:bCs/>
          <w:color w:val="000000"/>
          <w:sz w:val="24"/>
        </w:rPr>
      </w:pPr>
      <w:r>
        <w:rPr>
          <w:bCs/>
          <w:color w:val="000000"/>
          <w:sz w:val="24"/>
        </w:rPr>
        <w:t>3. 2022年4月29日－5月24日，学院组织考核，对拟转入学院相关专业的学生进行综合评价。</w:t>
      </w:r>
    </w:p>
    <w:p>
      <w:pPr>
        <w:snapToGrid w:val="0"/>
        <w:spacing w:line="440" w:lineRule="exact"/>
        <w:ind w:firstLine="480" w:firstLineChars="200"/>
        <w:rPr>
          <w:bCs/>
          <w:color w:val="000000"/>
          <w:sz w:val="24"/>
        </w:rPr>
      </w:pPr>
      <w:r>
        <w:rPr>
          <w:bCs/>
          <w:color w:val="000000"/>
          <w:sz w:val="24"/>
        </w:rPr>
        <w:t>4. 2022年5月18日前完成第一志愿转入确认，5月24日前完成第二志愿转入确认。</w:t>
      </w:r>
    </w:p>
    <w:p>
      <w:pPr>
        <w:spacing w:before="156" w:beforeLines="50" w:after="156" w:afterLines="50" w:line="440" w:lineRule="exact"/>
        <w:rPr>
          <w:b/>
          <w:color w:val="000000"/>
          <w:sz w:val="24"/>
        </w:rPr>
      </w:pPr>
      <w:r>
        <w:rPr>
          <w:b/>
          <w:color w:val="000000"/>
          <w:sz w:val="24"/>
        </w:rPr>
        <w:t>六、转专业学生注意事项</w:t>
      </w:r>
    </w:p>
    <w:p>
      <w:pPr>
        <w:snapToGrid w:val="0"/>
        <w:spacing w:line="440" w:lineRule="exact"/>
        <w:ind w:firstLine="480" w:firstLineChars="200"/>
        <w:rPr>
          <w:bCs/>
          <w:color w:val="000000"/>
          <w:sz w:val="24"/>
        </w:rPr>
      </w:pPr>
      <w:r>
        <w:rPr>
          <w:bCs/>
          <w:color w:val="000000"/>
          <w:sz w:val="24"/>
        </w:rPr>
        <w:t>1. 转专业报名工作采用网上报名和书面报名相结合的方式。学生网上申请提交后，不能再修改申请，请学生提交时慎重考虑。学生网上报名成功后，需将书面报名材料提交到转入学院，学生申请未送达转入学院确认的，一律视为自愿放弃。</w:t>
      </w:r>
    </w:p>
    <w:p>
      <w:pPr>
        <w:snapToGrid w:val="0"/>
        <w:spacing w:line="440" w:lineRule="exact"/>
        <w:ind w:firstLine="480" w:firstLineChars="200"/>
        <w:rPr>
          <w:bCs/>
          <w:color w:val="000000"/>
          <w:sz w:val="24"/>
        </w:rPr>
      </w:pPr>
      <w:r>
        <w:rPr>
          <w:bCs/>
          <w:color w:val="000000"/>
          <w:sz w:val="24"/>
        </w:rPr>
        <w:t>2. 学生须如实提供本人材料，学生所在学院要对学生的申请材料及申请理由进行审查。对于弄虚作假者，一经查实，追究相关人员责任，同时取消学生转专业资格。</w:t>
      </w:r>
    </w:p>
    <w:p>
      <w:pPr>
        <w:snapToGrid w:val="0"/>
        <w:spacing w:line="440" w:lineRule="exact"/>
        <w:ind w:firstLine="480" w:firstLineChars="200"/>
        <w:rPr>
          <w:rFonts w:eastAsiaTheme="minorEastAsia"/>
          <w:color w:val="000000"/>
          <w:kern w:val="0"/>
          <w:sz w:val="24"/>
          <w:lang w:bidi="ar"/>
        </w:rPr>
      </w:pPr>
      <w:r>
        <w:rPr>
          <w:bCs/>
          <w:color w:val="000000"/>
          <w:sz w:val="24"/>
        </w:rPr>
        <w:t>3. 由于不同专业在培养计划、教学内容、教学要求等方面存在差异，学生转专业可能会影响正常的学习进度（如无法在学制年限内正常毕业等），</w:t>
      </w:r>
      <w:r>
        <w:rPr>
          <w:rFonts w:eastAsiaTheme="minorEastAsia"/>
          <w:b/>
          <w:bCs/>
          <w:color w:val="000000"/>
          <w:kern w:val="0"/>
          <w:sz w:val="24"/>
          <w:lang w:bidi="ar"/>
        </w:rPr>
        <w:t>学生应在前期通过咨询等方式充分了解我院各专业基本情况、拟转入的专业与现专业课程设置及高考选课科目的差异，充分考虑转专业后可能面临的课程补修时间冲突无法选课从而导致的延期毕业等问题以后，</w:t>
      </w:r>
      <w:r>
        <w:rPr>
          <w:rFonts w:eastAsiaTheme="minorEastAsia"/>
          <w:bCs/>
          <w:color w:val="000000"/>
          <w:kern w:val="0"/>
          <w:sz w:val="24"/>
          <w:lang w:bidi="ar"/>
        </w:rPr>
        <w:t>再决定是否提出转专业的申请</w:t>
      </w:r>
      <w:r>
        <w:rPr>
          <w:rFonts w:eastAsiaTheme="minorEastAsia"/>
          <w:color w:val="000000"/>
          <w:kern w:val="0"/>
          <w:sz w:val="24"/>
          <w:lang w:bidi="ar"/>
        </w:rPr>
        <w:t>。</w:t>
      </w:r>
    </w:p>
    <w:p>
      <w:pPr>
        <w:pStyle w:val="2"/>
        <w:adjustRightInd w:val="0"/>
        <w:snapToGrid w:val="0"/>
        <w:spacing w:before="0" w:beforeAutospacing="0" w:after="0" w:afterAutospacing="0" w:line="440" w:lineRule="exact"/>
        <w:ind w:firstLine="480" w:firstLineChars="200"/>
        <w:rPr>
          <w:rFonts w:ascii="Times New Roman" w:hAnsi="Times New Roman" w:cs="Times New Roman"/>
        </w:rPr>
      </w:pPr>
      <w:r>
        <w:rPr>
          <w:rFonts w:ascii="Times New Roman" w:hAnsi="Times New Roman" w:cs="Times New Roman"/>
        </w:rPr>
        <w:t>4. 正在参加辅修专业学习的学生，申请转专业时，请注意拟转入专业与辅修专业是否同属一个一级学科（即专业代码前四位是否相同,可查看附件4），如果存在上述现象，学生一旦转专业成功，则必须放弃辅修学习。</w:t>
      </w:r>
    </w:p>
    <w:p>
      <w:pPr>
        <w:pStyle w:val="2"/>
        <w:adjustRightInd w:val="0"/>
        <w:snapToGrid w:val="0"/>
        <w:spacing w:before="0" w:beforeAutospacing="0" w:after="0" w:afterAutospacing="0" w:line="440" w:lineRule="exact"/>
        <w:ind w:firstLine="480" w:firstLineChars="200"/>
        <w:rPr>
          <w:rFonts w:ascii="Times New Roman" w:hAnsi="Times New Roman" w:cs="Times New Roman"/>
        </w:rPr>
      </w:pPr>
      <w:r>
        <w:rPr>
          <w:rFonts w:ascii="Times New Roman" w:hAnsi="Times New Roman" w:cs="Times New Roman"/>
        </w:rPr>
        <w:t>5. 学校公示“拟批准转专业学生名单”后，因个人原因要放弃的，需在学校公示1周内</w:t>
      </w:r>
      <w:r>
        <w:rPr>
          <w:rFonts w:ascii="Times New Roman" w:hAnsi="Times New Roman" w:cs="Times New Roman"/>
          <w:b/>
          <w:bCs/>
        </w:rPr>
        <w:t>（6月7日17:00前）</w:t>
      </w:r>
      <w:r>
        <w:rPr>
          <w:rFonts w:ascii="Times New Roman" w:hAnsi="Times New Roman" w:cs="Times New Roman"/>
        </w:rPr>
        <w:t xml:space="preserve">向学校教务处提出放弃请求，逾期不再受理。   </w:t>
      </w:r>
    </w:p>
    <w:p>
      <w:pPr>
        <w:pStyle w:val="2"/>
        <w:adjustRightInd w:val="0"/>
        <w:snapToGrid w:val="0"/>
        <w:spacing w:before="0" w:beforeAutospacing="0" w:after="0" w:afterAutospacing="0" w:line="440" w:lineRule="exact"/>
        <w:ind w:firstLine="480" w:firstLineChars="200"/>
        <w:rPr>
          <w:rFonts w:ascii="Times New Roman" w:hAnsi="Times New Roman" w:cs="Times New Roman"/>
        </w:rPr>
      </w:pPr>
      <w:r>
        <w:rPr>
          <w:rFonts w:ascii="Times New Roman" w:hAnsi="Times New Roman" w:cs="Times New Roman"/>
        </w:rPr>
        <w:t>6. 本次所有转专业的学生自2022-2023学年起按转入后的专业缴纳学费，学校不收取任何额外费用。</w:t>
      </w:r>
    </w:p>
    <w:p>
      <w:pPr>
        <w:pStyle w:val="2"/>
        <w:adjustRightInd w:val="0"/>
        <w:snapToGrid w:val="0"/>
        <w:spacing w:before="0" w:beforeAutospacing="0" w:after="0" w:afterAutospacing="0" w:line="440" w:lineRule="exact"/>
        <w:ind w:firstLine="480" w:firstLineChars="200"/>
        <w:rPr>
          <w:rFonts w:hint="default" w:ascii="Times New Roman" w:hAnsi="Times New Roman" w:eastAsia="宋体" w:cs="Times New Roman"/>
          <w:lang w:val="en-US" w:eastAsia="zh-CN"/>
        </w:rPr>
      </w:pPr>
      <w:r>
        <w:rPr>
          <w:rFonts w:hint="eastAsia" w:ascii="Times New Roman" w:hAnsi="Times New Roman" w:cs="Times New Roman"/>
          <w:lang w:val="en-US" w:eastAsia="zh-CN"/>
        </w:rPr>
        <w:t>7. 成功转入2021级相关专业和方向的学生后续将不参加2021级专业分流工作。</w:t>
      </w:r>
    </w:p>
    <w:p>
      <w:pPr>
        <w:spacing w:before="156" w:beforeLines="50" w:after="156" w:afterLines="50" w:line="440" w:lineRule="exact"/>
        <w:rPr>
          <w:b/>
          <w:bCs/>
          <w:sz w:val="24"/>
        </w:rPr>
      </w:pPr>
      <w:r>
        <w:rPr>
          <w:rFonts w:hint="eastAsia"/>
          <w:b/>
          <w:bCs/>
          <w:sz w:val="24"/>
          <w:lang w:eastAsia="zh-CN"/>
        </w:rPr>
        <w:t>七</w:t>
      </w:r>
      <w:r>
        <w:rPr>
          <w:b/>
          <w:bCs/>
          <w:sz w:val="24"/>
        </w:rPr>
        <w:t>、转专业工作咨询及投诉电话</w:t>
      </w:r>
    </w:p>
    <w:p>
      <w:pPr>
        <w:pStyle w:val="2"/>
        <w:adjustRightInd w:val="0"/>
        <w:snapToGrid w:val="0"/>
        <w:spacing w:before="0" w:beforeAutospacing="0" w:after="0" w:afterAutospacing="0" w:line="440" w:lineRule="exact"/>
        <w:ind w:firstLine="480" w:firstLineChars="200"/>
        <w:rPr>
          <w:rFonts w:ascii="Times New Roman" w:hAnsi="Times New Roman" w:cs="Times New Roman"/>
          <w:bCs/>
        </w:rPr>
      </w:pPr>
      <w:r>
        <w:rPr>
          <w:rFonts w:ascii="Times New Roman" w:hAnsi="Times New Roman" w:cs="Times New Roman"/>
        </w:rPr>
        <w:t>咨询地点：土建学院教学办  刘雯洁老师  咨询电话：027-87651785</w:t>
      </w:r>
    </w:p>
    <w:p>
      <w:pPr>
        <w:adjustRightInd w:val="0"/>
        <w:snapToGrid w:val="0"/>
        <w:spacing w:line="440" w:lineRule="exact"/>
        <w:ind w:firstLine="1680" w:firstLineChars="700"/>
        <w:rPr>
          <w:bCs/>
          <w:sz w:val="24"/>
        </w:rPr>
      </w:pPr>
      <w:r>
        <w:rPr>
          <w:bCs/>
          <w:sz w:val="24"/>
        </w:rPr>
        <w:t>土建学院学工办  周  晨</w:t>
      </w:r>
      <w:r>
        <w:rPr>
          <w:kern w:val="0"/>
          <w:sz w:val="24"/>
        </w:rPr>
        <w:t xml:space="preserve">老师 </w:t>
      </w:r>
      <w:r>
        <w:rPr>
          <w:bCs/>
          <w:sz w:val="24"/>
        </w:rPr>
        <w:t xml:space="preserve"> 咨询电话：027-87213949</w:t>
      </w:r>
    </w:p>
    <w:p>
      <w:pPr>
        <w:pStyle w:val="2"/>
        <w:adjustRightInd w:val="0"/>
        <w:snapToGrid w:val="0"/>
        <w:spacing w:before="0" w:beforeAutospacing="0" w:after="0" w:afterAutospacing="0" w:line="440" w:lineRule="exact"/>
        <w:ind w:firstLine="480" w:firstLineChars="200"/>
        <w:rPr>
          <w:rFonts w:ascii="Times New Roman" w:hAnsi="Times New Roman" w:cs="Times New Roman"/>
        </w:rPr>
      </w:pPr>
      <w:r>
        <w:rPr>
          <w:rFonts w:ascii="Times New Roman" w:hAnsi="Times New Roman" w:cs="Times New Roman"/>
        </w:rPr>
        <w:t>转专业QQ群号：307218829  E-mail：</w:t>
      </w:r>
      <w:r>
        <w:fldChar w:fldCharType="begin"/>
      </w:r>
      <w:r>
        <w:instrText xml:space="preserve"> HYPERLINK "mailto:tjxyjxb@163.com" </w:instrText>
      </w:r>
      <w:r>
        <w:fldChar w:fldCharType="separate"/>
      </w:r>
      <w:r>
        <w:rPr>
          <w:rFonts w:ascii="Times New Roman" w:hAnsi="Times New Roman" w:cs="Times New Roman"/>
        </w:rPr>
        <w:t>tjxyjxb@163.com</w:t>
      </w:r>
      <w:r>
        <w:rPr>
          <w:rFonts w:ascii="Times New Roman" w:hAnsi="Times New Roman" w:cs="Times New Roman"/>
        </w:rPr>
        <w:fldChar w:fldCharType="end"/>
      </w:r>
    </w:p>
    <w:p>
      <w:pPr>
        <w:spacing w:line="440" w:lineRule="exact"/>
        <w:ind w:firstLine="480" w:firstLineChars="200"/>
        <w:rPr>
          <w:bCs/>
          <w:sz w:val="24"/>
        </w:rPr>
      </w:pPr>
      <w:r>
        <w:rPr>
          <w:bCs/>
          <w:sz w:val="24"/>
        </w:rPr>
        <w:t>专业介绍：</w:t>
      </w:r>
    </w:p>
    <w:p>
      <w:pPr>
        <w:spacing w:line="440" w:lineRule="exact"/>
        <w:ind w:firstLine="720" w:firstLineChars="300"/>
        <w:rPr>
          <w:bCs/>
          <w:sz w:val="24"/>
        </w:rPr>
      </w:pPr>
      <w:r>
        <w:rPr>
          <w:bCs/>
          <w:sz w:val="24"/>
        </w:rPr>
        <w:t>土木类：</w:t>
      </w:r>
      <w:r>
        <w:fldChar w:fldCharType="begin"/>
      </w:r>
      <w:r>
        <w:instrText xml:space="preserve"> HYPERLINK "https://zs.whut.edu.cn/zyjs/202101/t20210126_829092.shtml" </w:instrText>
      </w:r>
      <w:r>
        <w:fldChar w:fldCharType="separate"/>
      </w:r>
      <w:r>
        <w:rPr>
          <w:rStyle w:val="5"/>
          <w:bCs/>
          <w:sz w:val="24"/>
        </w:rPr>
        <w:t>https://zs.whut.edu.cn/zyjs/202101/t20210126_829092.shtml</w:t>
      </w:r>
      <w:r>
        <w:rPr>
          <w:rStyle w:val="5"/>
          <w:bCs/>
          <w:sz w:val="24"/>
        </w:rPr>
        <w:fldChar w:fldCharType="end"/>
      </w:r>
    </w:p>
    <w:p>
      <w:pPr>
        <w:spacing w:line="440" w:lineRule="exact"/>
        <w:ind w:firstLine="720" w:firstLineChars="300"/>
        <w:rPr>
          <w:bCs/>
          <w:sz w:val="24"/>
        </w:rPr>
      </w:pPr>
      <w:r>
        <w:rPr>
          <w:bCs/>
          <w:sz w:val="24"/>
        </w:rPr>
        <w:t>建筑类：</w:t>
      </w:r>
      <w:r>
        <w:rPr>
          <w:rStyle w:val="5"/>
          <w:bCs/>
          <w:sz w:val="24"/>
        </w:rPr>
        <w:t>https://zs.whut.edu.cn/zyjs/202101/t20210126_829093.shtml</w:t>
      </w:r>
    </w:p>
    <w:p>
      <w:pPr>
        <w:adjustRightInd w:val="0"/>
        <w:snapToGrid w:val="0"/>
        <w:spacing w:line="440" w:lineRule="exact"/>
        <w:ind w:firstLine="480" w:firstLineChars="200"/>
        <w:rPr>
          <w:bCs/>
          <w:sz w:val="24"/>
        </w:rPr>
      </w:pPr>
      <w:r>
        <w:rPr>
          <w:bCs/>
          <w:sz w:val="24"/>
        </w:rPr>
        <w:t>投诉电话：027-87217891  吴  斌 院长 E-mail：wub@whut.edu.cn</w:t>
      </w:r>
    </w:p>
    <w:p>
      <w:pPr>
        <w:adjustRightInd w:val="0"/>
        <w:snapToGrid w:val="0"/>
        <w:spacing w:line="440" w:lineRule="exact"/>
        <w:ind w:firstLine="1680" w:firstLineChars="700"/>
        <w:rPr>
          <w:bCs/>
          <w:sz w:val="24"/>
        </w:rPr>
      </w:pPr>
      <w:r>
        <w:rPr>
          <w:bCs/>
          <w:sz w:val="24"/>
        </w:rPr>
        <w:t>027-87165831  谢文峰 书记 E-mail：513081836@qq.com</w:t>
      </w:r>
    </w:p>
    <w:p>
      <w:pPr>
        <w:spacing w:before="156" w:beforeLines="50" w:after="156" w:afterLines="50" w:line="440" w:lineRule="exact"/>
        <w:rPr>
          <w:b/>
          <w:color w:val="000000"/>
          <w:sz w:val="24"/>
        </w:rPr>
      </w:pPr>
      <w:r>
        <w:rPr>
          <w:rFonts w:hint="eastAsia"/>
          <w:b/>
          <w:color w:val="000000"/>
          <w:sz w:val="24"/>
          <w:lang w:eastAsia="zh-CN"/>
        </w:rPr>
        <w:t>八</w:t>
      </w:r>
      <w:r>
        <w:rPr>
          <w:b/>
          <w:color w:val="000000"/>
          <w:sz w:val="24"/>
        </w:rPr>
        <w:t>、其他</w:t>
      </w:r>
    </w:p>
    <w:p>
      <w:pPr>
        <w:adjustRightInd w:val="0"/>
        <w:snapToGrid w:val="0"/>
        <w:spacing w:line="440" w:lineRule="exact"/>
        <w:ind w:firstLine="480" w:firstLineChars="200"/>
        <w:rPr>
          <w:bCs/>
          <w:sz w:val="24"/>
        </w:rPr>
      </w:pPr>
      <w:r>
        <w:rPr>
          <w:bCs/>
          <w:sz w:val="24"/>
        </w:rPr>
        <w:t>未尽事项按照学校《2022年本科学生转专业工作通知》的规定执行。</w:t>
      </w:r>
    </w:p>
    <w:p>
      <w:pPr>
        <w:adjustRightInd w:val="0"/>
        <w:snapToGrid w:val="0"/>
        <w:spacing w:line="440" w:lineRule="exact"/>
        <w:ind w:firstLine="480" w:firstLineChars="200"/>
        <w:rPr>
          <w:bCs/>
          <w:sz w:val="24"/>
        </w:rPr>
      </w:pPr>
    </w:p>
    <w:p>
      <w:pPr>
        <w:adjustRightInd w:val="0"/>
        <w:snapToGrid w:val="0"/>
        <w:spacing w:line="440" w:lineRule="exact"/>
        <w:ind w:firstLine="480" w:firstLineChars="200"/>
        <w:rPr>
          <w:bCs/>
          <w:sz w:val="24"/>
        </w:rPr>
      </w:pPr>
    </w:p>
    <w:p>
      <w:pPr>
        <w:adjustRightInd w:val="0"/>
        <w:snapToGrid w:val="0"/>
        <w:spacing w:line="440" w:lineRule="exact"/>
        <w:ind w:firstLine="480" w:firstLineChars="200"/>
        <w:jc w:val="right"/>
        <w:rPr>
          <w:bCs/>
          <w:sz w:val="24"/>
        </w:rPr>
      </w:pPr>
      <w:r>
        <w:rPr>
          <w:bCs/>
          <w:sz w:val="24"/>
        </w:rPr>
        <w:t>土木工程与建筑学院</w:t>
      </w:r>
    </w:p>
    <w:p>
      <w:pPr>
        <w:adjustRightInd w:val="0"/>
        <w:snapToGrid w:val="0"/>
        <w:spacing w:line="440" w:lineRule="exact"/>
        <w:ind w:firstLine="480" w:firstLineChars="200"/>
        <w:jc w:val="right"/>
        <w:rPr>
          <w:bCs/>
          <w:sz w:val="24"/>
        </w:rPr>
      </w:pPr>
      <w:r>
        <w:rPr>
          <w:bCs/>
          <w:sz w:val="24"/>
        </w:rPr>
        <w:t>202</w:t>
      </w:r>
      <w:r>
        <w:rPr>
          <w:rFonts w:hint="eastAsia"/>
          <w:bCs/>
          <w:sz w:val="24"/>
        </w:rPr>
        <w:t>2</w:t>
      </w:r>
      <w:r>
        <w:rPr>
          <w:bCs/>
          <w:sz w:val="24"/>
        </w:rPr>
        <w:t>年4月15日</w:t>
      </w:r>
    </w:p>
    <w:p>
      <w:pPr>
        <w:snapToGrid w:val="0"/>
        <w:spacing w:line="360" w:lineRule="auto"/>
        <w:ind w:firstLine="480" w:firstLineChars="200"/>
        <w:rPr>
          <w:rFonts w:ascii="仿宋" w:hAnsi="仿宋" w:eastAsia="仿宋" w:cs="Arial"/>
          <w:bCs/>
          <w:color w:val="000000"/>
          <w:kern w:val="0"/>
          <w:sz w:val="24"/>
          <w:shd w:val="clear" w:color="auto" w:fill="FFFFFF"/>
          <w:lang w:bidi="ar"/>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8511D48"/>
    <w:multiLevelType w:val="singleLevel"/>
    <w:tmpl w:val="38511D48"/>
    <w:lvl w:ilvl="0" w:tentative="0">
      <w:start w:val="5"/>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EE64717"/>
    <w:rsid w:val="001079D4"/>
    <w:rsid w:val="00167558"/>
    <w:rsid w:val="004921E4"/>
    <w:rsid w:val="00782B17"/>
    <w:rsid w:val="00A50AFB"/>
    <w:rsid w:val="00A70110"/>
    <w:rsid w:val="00EC47BF"/>
    <w:rsid w:val="05A210E4"/>
    <w:rsid w:val="11BE0003"/>
    <w:rsid w:val="13107D37"/>
    <w:rsid w:val="18C87021"/>
    <w:rsid w:val="1BB47800"/>
    <w:rsid w:val="20F472B1"/>
    <w:rsid w:val="280772B7"/>
    <w:rsid w:val="2A7744A6"/>
    <w:rsid w:val="2CE96B10"/>
    <w:rsid w:val="2F2A57F4"/>
    <w:rsid w:val="2F963E14"/>
    <w:rsid w:val="30083700"/>
    <w:rsid w:val="36CB63C8"/>
    <w:rsid w:val="3CCD4F3A"/>
    <w:rsid w:val="3DA473B6"/>
    <w:rsid w:val="3DF17B5D"/>
    <w:rsid w:val="414375E8"/>
    <w:rsid w:val="41872DEC"/>
    <w:rsid w:val="440A7BCA"/>
    <w:rsid w:val="449B0A4F"/>
    <w:rsid w:val="458C4498"/>
    <w:rsid w:val="47DC3AFC"/>
    <w:rsid w:val="4CCE2F0C"/>
    <w:rsid w:val="4D3677D8"/>
    <w:rsid w:val="51896750"/>
    <w:rsid w:val="55A61F25"/>
    <w:rsid w:val="580E1845"/>
    <w:rsid w:val="5C7555F5"/>
    <w:rsid w:val="69D121EC"/>
    <w:rsid w:val="6B1F56C1"/>
    <w:rsid w:val="6CA60C38"/>
    <w:rsid w:val="6CFA2955"/>
    <w:rsid w:val="71AA3C6B"/>
    <w:rsid w:val="768E06EF"/>
    <w:rsid w:val="78AA08FD"/>
    <w:rsid w:val="791D1009"/>
    <w:rsid w:val="7B260C8E"/>
    <w:rsid w:val="7EE647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jc w:val="left"/>
    </w:pPr>
    <w:rPr>
      <w:rFonts w:ascii="宋体" w:hAnsi="宋体" w:cs="宋体"/>
      <w:kern w:val="0"/>
      <w:sz w:val="24"/>
    </w:rPr>
  </w:style>
  <w:style w:type="character" w:styleId="5">
    <w:name w:val="Hyperlink"/>
    <w:basedOn w:val="4"/>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2108</Words>
  <Characters>2454</Characters>
  <Lines>19</Lines>
  <Paragraphs>5</Paragraphs>
  <TotalTime>52</TotalTime>
  <ScaleCrop>false</ScaleCrop>
  <LinksUpToDate>false</LinksUpToDate>
  <CharactersWithSpaces>2520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2022-04-08T02:26:00Z</dcterms:created>
  <dc:creator>Jessica</dc:creator>
  <cp:lastModifiedBy>Jessica</cp:lastModifiedBy>
  <cp:lastPrinted>2022-04-13T07:01:00Z</cp:lastPrinted>
  <dcterms:modified xsi:type="dcterms:W3CDTF">2022-04-19T03:48:06Z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BECBE4E3A5224966BBEFDA2F8DE456BF</vt:lpwstr>
  </property>
</Properties>
</file>